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42" w:rsidRPr="004F70B6" w:rsidRDefault="00103542" w:rsidP="00103542">
      <w:pPr>
        <w:pStyle w:val="Title"/>
      </w:pPr>
      <w:r w:rsidRPr="004F70B6">
        <w:t xml:space="preserve"> “What? </w:t>
      </w:r>
      <w:proofErr w:type="gramStart"/>
      <w:r w:rsidRPr="004F70B6">
        <w:t>What For?”</w:t>
      </w:r>
      <w:proofErr w:type="gramEnd"/>
    </w:p>
    <w:p w:rsidR="00103542" w:rsidRPr="00103542" w:rsidRDefault="00103542" w:rsidP="00843EB1">
      <w:pPr>
        <w:pStyle w:val="Heading1"/>
        <w:rPr>
          <w:rStyle w:val="Strong"/>
          <w:b/>
        </w:rPr>
      </w:pPr>
      <w:r w:rsidRPr="00103542">
        <w:rPr>
          <w:rStyle w:val="Strong"/>
          <w:b/>
        </w:rPr>
        <w:t xml:space="preserve">Purpose: </w:t>
      </w:r>
    </w:p>
    <w:p w:rsidR="00103542" w:rsidRPr="00481A86" w:rsidRDefault="00103542" w:rsidP="00103542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481A86">
        <w:rPr>
          <w:i w:val="0"/>
          <w:sz w:val="24"/>
        </w:rPr>
        <w:t>To determine together the goals and anticipated outcomes of the Discovery phase.</w:t>
      </w:r>
    </w:p>
    <w:p w:rsidR="00103542" w:rsidRPr="00481A86" w:rsidRDefault="00103542" w:rsidP="00103542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481A86">
        <w:rPr>
          <w:i w:val="0"/>
          <w:sz w:val="24"/>
        </w:rPr>
        <w:t xml:space="preserve">To ensure the Discovery process (including recruitment strategy, Discovery questions, etc.) is in </w:t>
      </w:r>
      <w:r w:rsidR="00843EB1" w:rsidRPr="00481A86">
        <w:rPr>
          <w:i w:val="0"/>
          <w:sz w:val="24"/>
        </w:rPr>
        <w:t>line</w:t>
      </w:r>
      <w:r w:rsidRPr="00481A86">
        <w:rPr>
          <w:i w:val="0"/>
          <w:sz w:val="24"/>
        </w:rPr>
        <w:t xml:space="preserve"> with the goals and anticipated outcomes set by the group.</w:t>
      </w:r>
    </w:p>
    <w:p w:rsidR="00103542" w:rsidRPr="00481A86" w:rsidRDefault="00103542" w:rsidP="00843EB1">
      <w:pPr>
        <w:pStyle w:val="Heading1"/>
        <w:rPr>
          <w:rStyle w:val="Strong"/>
          <w:b/>
          <w:sz w:val="24"/>
        </w:rPr>
      </w:pPr>
      <w:r w:rsidRPr="00481A86">
        <w:rPr>
          <w:rStyle w:val="Strong"/>
          <w:b/>
          <w:sz w:val="24"/>
        </w:rPr>
        <w:t>Materials Needed:</w:t>
      </w:r>
    </w:p>
    <w:p w:rsidR="00103542" w:rsidRPr="00481A86" w:rsidRDefault="00103542" w:rsidP="00103542">
      <w:pPr>
        <w:pStyle w:val="ListParagraph"/>
        <w:numPr>
          <w:ilvl w:val="0"/>
          <w:numId w:val="2"/>
        </w:numPr>
        <w:spacing w:after="0"/>
        <w:rPr>
          <w:i w:val="0"/>
          <w:sz w:val="24"/>
        </w:rPr>
      </w:pPr>
      <w:r w:rsidRPr="00481A86">
        <w:rPr>
          <w:i w:val="0"/>
          <w:sz w:val="24"/>
        </w:rPr>
        <w:t>Copies of the ‘What? What For?’ Chart</w:t>
      </w:r>
    </w:p>
    <w:p w:rsidR="00103542" w:rsidRPr="00481A86" w:rsidRDefault="00103542" w:rsidP="00103542">
      <w:pPr>
        <w:pStyle w:val="ListParagraph"/>
        <w:numPr>
          <w:ilvl w:val="0"/>
          <w:numId w:val="2"/>
        </w:numPr>
        <w:spacing w:after="0"/>
        <w:rPr>
          <w:i w:val="0"/>
          <w:sz w:val="24"/>
        </w:rPr>
      </w:pPr>
      <w:r w:rsidRPr="00481A86">
        <w:rPr>
          <w:i w:val="0"/>
          <w:sz w:val="24"/>
        </w:rPr>
        <w:t>Pens or pencils</w:t>
      </w:r>
    </w:p>
    <w:p w:rsidR="00103542" w:rsidRPr="00481A86" w:rsidRDefault="00103542" w:rsidP="00103542">
      <w:pPr>
        <w:pStyle w:val="ListParagraph"/>
        <w:numPr>
          <w:ilvl w:val="0"/>
          <w:numId w:val="2"/>
        </w:numPr>
        <w:spacing w:after="0"/>
        <w:rPr>
          <w:i w:val="0"/>
          <w:sz w:val="24"/>
        </w:rPr>
      </w:pPr>
      <w:r w:rsidRPr="00481A86">
        <w:rPr>
          <w:i w:val="0"/>
          <w:sz w:val="24"/>
        </w:rPr>
        <w:t>Flip chart or whiteboard</w:t>
      </w:r>
    </w:p>
    <w:p w:rsidR="00103542" w:rsidRPr="00481A86" w:rsidRDefault="00103542" w:rsidP="00103542">
      <w:pPr>
        <w:pStyle w:val="ListParagraph"/>
        <w:numPr>
          <w:ilvl w:val="0"/>
          <w:numId w:val="2"/>
        </w:numPr>
        <w:spacing w:after="0"/>
        <w:rPr>
          <w:i w:val="0"/>
          <w:sz w:val="24"/>
        </w:rPr>
      </w:pPr>
      <w:r w:rsidRPr="00481A86">
        <w:rPr>
          <w:i w:val="0"/>
          <w:sz w:val="24"/>
        </w:rPr>
        <w:t>Whiteboard or regular markers</w:t>
      </w:r>
    </w:p>
    <w:p w:rsidR="00103542" w:rsidRPr="00481A86" w:rsidRDefault="00103542" w:rsidP="00103542">
      <w:pPr>
        <w:pStyle w:val="ListParagraph"/>
        <w:numPr>
          <w:ilvl w:val="0"/>
          <w:numId w:val="2"/>
        </w:numPr>
        <w:spacing w:after="0"/>
        <w:rPr>
          <w:i w:val="0"/>
          <w:sz w:val="24"/>
        </w:rPr>
      </w:pPr>
      <w:r w:rsidRPr="00481A86">
        <w:rPr>
          <w:i w:val="0"/>
          <w:sz w:val="24"/>
        </w:rPr>
        <w:t xml:space="preserve">A copy of the </w:t>
      </w:r>
      <w:r w:rsidR="004B3778">
        <w:rPr>
          <w:i w:val="0"/>
          <w:sz w:val="24"/>
        </w:rPr>
        <w:t>information from the Determining G</w:t>
      </w:r>
      <w:r w:rsidRPr="00481A86">
        <w:rPr>
          <w:i w:val="0"/>
          <w:sz w:val="24"/>
        </w:rPr>
        <w:t xml:space="preserve">roup </w:t>
      </w:r>
      <w:r w:rsidR="004B3778">
        <w:rPr>
          <w:i w:val="0"/>
          <w:sz w:val="24"/>
        </w:rPr>
        <w:t>E</w:t>
      </w:r>
      <w:r w:rsidRPr="00481A86">
        <w:rPr>
          <w:i w:val="0"/>
          <w:sz w:val="24"/>
        </w:rPr>
        <w:t>xpectations</w:t>
      </w:r>
      <w:r w:rsidR="004B3778">
        <w:rPr>
          <w:i w:val="0"/>
          <w:sz w:val="24"/>
        </w:rPr>
        <w:t xml:space="preserve"> activity completed in Dawn</w:t>
      </w:r>
      <w:r w:rsidRPr="00481A86">
        <w:rPr>
          <w:i w:val="0"/>
          <w:sz w:val="24"/>
        </w:rPr>
        <w:t xml:space="preserve"> (create a handout or write on white board)</w:t>
      </w:r>
    </w:p>
    <w:p w:rsidR="00103542" w:rsidRPr="00481A86" w:rsidRDefault="00103542" w:rsidP="00843EB1">
      <w:pPr>
        <w:pStyle w:val="Heading1"/>
        <w:rPr>
          <w:rStyle w:val="Strong"/>
          <w:b/>
          <w:sz w:val="24"/>
        </w:rPr>
      </w:pPr>
      <w:r w:rsidRPr="00481A86">
        <w:rPr>
          <w:rStyle w:val="Strong"/>
          <w:b/>
          <w:sz w:val="24"/>
        </w:rPr>
        <w:t>Instructions:</w:t>
      </w:r>
    </w:p>
    <w:p w:rsidR="00046BF2" w:rsidRPr="00481A86" w:rsidRDefault="00046BF2" w:rsidP="00103542">
      <w:pPr>
        <w:pStyle w:val="ListParagraph"/>
        <w:numPr>
          <w:ilvl w:val="0"/>
          <w:numId w:val="3"/>
        </w:numPr>
        <w:spacing w:after="0"/>
        <w:rPr>
          <w:i w:val="0"/>
          <w:sz w:val="24"/>
        </w:rPr>
      </w:pPr>
      <w:r w:rsidRPr="00481A86">
        <w:rPr>
          <w:i w:val="0"/>
          <w:sz w:val="24"/>
        </w:rPr>
        <w:t xml:space="preserve">Remind the culture change coalition that the purpose of discovery is to find out what the group or organization already does well.  The goal is to ask </w:t>
      </w:r>
      <w:r w:rsidRPr="00481A86">
        <w:rPr>
          <w:sz w:val="24"/>
        </w:rPr>
        <w:t>appreciative</w:t>
      </w:r>
      <w:r w:rsidR="00481A86" w:rsidRPr="00481A86">
        <w:rPr>
          <w:i w:val="0"/>
          <w:sz w:val="24"/>
        </w:rPr>
        <w:t xml:space="preserve"> questions which are in line with the group’s expectations</w:t>
      </w:r>
      <w:r w:rsidR="002E1A5A">
        <w:rPr>
          <w:i w:val="0"/>
          <w:sz w:val="24"/>
        </w:rPr>
        <w:t>.</w:t>
      </w:r>
      <w:r w:rsidR="00481A86" w:rsidRPr="00481A86">
        <w:rPr>
          <w:i w:val="0"/>
          <w:sz w:val="24"/>
        </w:rPr>
        <w:t xml:space="preserve"> </w:t>
      </w:r>
    </w:p>
    <w:p w:rsidR="00103542" w:rsidRPr="00481A86" w:rsidRDefault="00843EB1" w:rsidP="00103542">
      <w:pPr>
        <w:pStyle w:val="ListParagraph"/>
        <w:numPr>
          <w:ilvl w:val="0"/>
          <w:numId w:val="3"/>
        </w:numPr>
        <w:spacing w:after="0"/>
        <w:rPr>
          <w:i w:val="0"/>
          <w:sz w:val="24"/>
        </w:rPr>
      </w:pPr>
      <w:r w:rsidRPr="00481A86">
        <w:rPr>
          <w:i w:val="0"/>
          <w:sz w:val="24"/>
        </w:rPr>
        <w:t>Ask each culture change coalition member</w:t>
      </w:r>
      <w:r w:rsidR="00103542" w:rsidRPr="00481A86">
        <w:rPr>
          <w:i w:val="0"/>
          <w:sz w:val="24"/>
        </w:rPr>
        <w:t xml:space="preserve"> reflect</w:t>
      </w:r>
      <w:r w:rsidRPr="00481A86">
        <w:rPr>
          <w:i w:val="0"/>
          <w:sz w:val="24"/>
        </w:rPr>
        <w:t xml:space="preserve"> individually or in small groups</w:t>
      </w:r>
      <w:r w:rsidR="00103542" w:rsidRPr="00481A86">
        <w:rPr>
          <w:i w:val="0"/>
          <w:sz w:val="24"/>
        </w:rPr>
        <w:t xml:space="preserve"> on the group’s </w:t>
      </w:r>
      <w:r w:rsidR="00046BF2" w:rsidRPr="00481A86">
        <w:rPr>
          <w:i w:val="0"/>
          <w:sz w:val="24"/>
        </w:rPr>
        <w:t>expectations for</w:t>
      </w:r>
      <w:r w:rsidR="00411533" w:rsidRPr="00481A86">
        <w:rPr>
          <w:i w:val="0"/>
          <w:sz w:val="24"/>
        </w:rPr>
        <w:t xml:space="preserve"> Culture Change within the group or organization.  Ask members to </w:t>
      </w:r>
      <w:r w:rsidR="005A3BB0" w:rsidRPr="00481A86">
        <w:rPr>
          <w:i w:val="0"/>
          <w:sz w:val="24"/>
        </w:rPr>
        <w:t>individually complete</w:t>
      </w:r>
      <w:r w:rsidR="00103542" w:rsidRPr="00481A86">
        <w:rPr>
          <w:i w:val="0"/>
          <w:sz w:val="24"/>
        </w:rPr>
        <w:t xml:space="preserve"> the first two columns of the ‘What? What For?’ chart (see </w:t>
      </w:r>
      <w:r w:rsidR="002E1A5A">
        <w:rPr>
          <w:i w:val="0"/>
          <w:sz w:val="24"/>
        </w:rPr>
        <w:t>chart template in the Culture Change Living toolkit)</w:t>
      </w:r>
      <w:r w:rsidR="00103542" w:rsidRPr="00481A86">
        <w:rPr>
          <w:i w:val="0"/>
          <w:sz w:val="24"/>
        </w:rPr>
        <w:t>.</w:t>
      </w:r>
    </w:p>
    <w:p w:rsidR="00103542" w:rsidRPr="00481A86" w:rsidRDefault="00843EB1" w:rsidP="00103542">
      <w:pPr>
        <w:pStyle w:val="ListParagraph"/>
        <w:numPr>
          <w:ilvl w:val="0"/>
          <w:numId w:val="3"/>
        </w:numPr>
        <w:spacing w:after="0"/>
        <w:rPr>
          <w:i w:val="0"/>
          <w:sz w:val="24"/>
        </w:rPr>
      </w:pPr>
      <w:r w:rsidRPr="00481A86">
        <w:rPr>
          <w:i w:val="0"/>
          <w:sz w:val="24"/>
        </w:rPr>
        <w:t>Collect</w:t>
      </w:r>
      <w:r w:rsidR="00103542" w:rsidRPr="00481A86">
        <w:rPr>
          <w:i w:val="0"/>
          <w:sz w:val="24"/>
        </w:rPr>
        <w:t xml:space="preserve"> responses and fill in the chart as a group.</w:t>
      </w:r>
    </w:p>
    <w:p w:rsidR="00103542" w:rsidRPr="00481A86" w:rsidRDefault="00843EB1" w:rsidP="00103542">
      <w:pPr>
        <w:pStyle w:val="ListParagraph"/>
        <w:numPr>
          <w:ilvl w:val="0"/>
          <w:numId w:val="3"/>
        </w:numPr>
        <w:spacing w:after="0"/>
        <w:rPr>
          <w:i w:val="0"/>
          <w:sz w:val="24"/>
        </w:rPr>
      </w:pPr>
      <w:r w:rsidRPr="00481A86">
        <w:rPr>
          <w:i w:val="0"/>
          <w:sz w:val="24"/>
        </w:rPr>
        <w:t>As a</w:t>
      </w:r>
      <w:r w:rsidR="00103542" w:rsidRPr="00481A86">
        <w:rPr>
          <w:i w:val="0"/>
          <w:sz w:val="24"/>
        </w:rPr>
        <w:t xml:space="preserve"> group</w:t>
      </w:r>
      <w:r w:rsidRPr="00481A86">
        <w:rPr>
          <w:i w:val="0"/>
          <w:sz w:val="24"/>
        </w:rPr>
        <w:t>,</w:t>
      </w:r>
      <w:r w:rsidR="00103542" w:rsidRPr="00481A86">
        <w:rPr>
          <w:i w:val="0"/>
          <w:sz w:val="24"/>
        </w:rPr>
        <w:t xml:space="preserve"> identify key themes that emerged from the interviews.</w:t>
      </w:r>
    </w:p>
    <w:p w:rsidR="00103542" w:rsidRPr="00481A86" w:rsidRDefault="00103542" w:rsidP="00103542">
      <w:pPr>
        <w:pStyle w:val="ListParagraph"/>
        <w:numPr>
          <w:ilvl w:val="0"/>
          <w:numId w:val="3"/>
        </w:numPr>
        <w:spacing w:after="0"/>
        <w:rPr>
          <w:i w:val="0"/>
          <w:sz w:val="24"/>
        </w:rPr>
      </w:pPr>
      <w:r w:rsidRPr="00481A86">
        <w:rPr>
          <w:i w:val="0"/>
          <w:sz w:val="24"/>
        </w:rPr>
        <w:t xml:space="preserve">Collectively complete the third column by identifying the discovery questions or actions </w:t>
      </w:r>
      <w:bookmarkStart w:id="0" w:name="_GoBack"/>
      <w:bookmarkEnd w:id="0"/>
      <w:r w:rsidRPr="00481A86">
        <w:rPr>
          <w:i w:val="0"/>
          <w:sz w:val="24"/>
        </w:rPr>
        <w:t>that will help you achieve your goals.</w:t>
      </w:r>
    </w:p>
    <w:p w:rsidR="00046BF2" w:rsidRPr="00481A86" w:rsidRDefault="00046BF2" w:rsidP="00046BF2">
      <w:pPr>
        <w:spacing w:after="0"/>
        <w:rPr>
          <w:sz w:val="24"/>
        </w:rPr>
      </w:pPr>
      <w:r w:rsidRPr="00481A86">
        <w:rPr>
          <w:sz w:val="24"/>
        </w:rPr>
        <w:t>Below is an example of some responses to this activity that come from one of the Partnerships in Dementia Care (PiDC) Alliance research sites.  Reading th</w:t>
      </w:r>
      <w:r w:rsidR="003E582C" w:rsidRPr="00481A86">
        <w:rPr>
          <w:sz w:val="24"/>
        </w:rPr>
        <w:t xml:space="preserve">rough these will help to see how some team members may choose to respond and provide some clarification for Culture Change Coalition members.  </w:t>
      </w:r>
      <w:r w:rsidR="002E1A5A">
        <w:rPr>
          <w:sz w:val="24"/>
        </w:rPr>
        <w:t xml:space="preserve">See the Culture Change Living Toolkit for a template describing </w:t>
      </w:r>
    </w:p>
    <w:p w:rsidR="003E582C" w:rsidRDefault="003E582C" w:rsidP="00046BF2">
      <w:pPr>
        <w:spacing w:after="0"/>
      </w:pPr>
    </w:p>
    <w:p w:rsidR="003E582C" w:rsidRDefault="003E582C" w:rsidP="00046BF2">
      <w:pPr>
        <w:spacing w:after="0"/>
      </w:pPr>
    </w:p>
    <w:p w:rsidR="003E582C" w:rsidRDefault="003E582C" w:rsidP="00046BF2">
      <w:pPr>
        <w:spacing w:after="0"/>
      </w:pPr>
    </w:p>
    <w:p w:rsidR="00103542" w:rsidRPr="00481A86" w:rsidRDefault="00481A86" w:rsidP="002E1A5A">
      <w:pPr>
        <w:pStyle w:val="Heading2"/>
        <w:rPr>
          <w:i/>
        </w:rPr>
      </w:pPr>
      <w:r w:rsidRPr="00481A86">
        <w:t xml:space="preserve">Example of a </w:t>
      </w:r>
      <w:r w:rsidRPr="002E1A5A">
        <w:t>completed</w:t>
      </w:r>
      <w:r w:rsidRPr="00481A86">
        <w:t xml:space="preserve">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46BF2" w:rsidTr="002E1A5A">
        <w:tc>
          <w:tcPr>
            <w:tcW w:w="3192" w:type="dxa"/>
            <w:shd w:val="clear" w:color="auto" w:fill="ACCBF9" w:themeFill="background2"/>
          </w:tcPr>
          <w:p w:rsidR="00046BF2" w:rsidRPr="003E582C" w:rsidRDefault="00046BF2" w:rsidP="003E582C">
            <w:pPr>
              <w:pStyle w:val="Heading2"/>
              <w:spacing w:before="0"/>
              <w:outlineLvl w:val="1"/>
              <w:rPr>
                <w:sz w:val="28"/>
              </w:rPr>
            </w:pPr>
            <w:r w:rsidRPr="003E582C">
              <w:rPr>
                <w:sz w:val="28"/>
              </w:rPr>
              <w:t>What?</w:t>
            </w:r>
          </w:p>
        </w:tc>
        <w:tc>
          <w:tcPr>
            <w:tcW w:w="3192" w:type="dxa"/>
            <w:shd w:val="clear" w:color="auto" w:fill="ACCBF9" w:themeFill="background2"/>
          </w:tcPr>
          <w:p w:rsidR="00046BF2" w:rsidRPr="003E582C" w:rsidRDefault="00046BF2" w:rsidP="003E582C">
            <w:pPr>
              <w:pStyle w:val="Heading2"/>
              <w:outlineLvl w:val="1"/>
              <w:rPr>
                <w:sz w:val="28"/>
              </w:rPr>
            </w:pPr>
            <w:r w:rsidRPr="003E582C">
              <w:rPr>
                <w:sz w:val="28"/>
              </w:rPr>
              <w:t>What for?</w:t>
            </w:r>
          </w:p>
        </w:tc>
        <w:tc>
          <w:tcPr>
            <w:tcW w:w="3192" w:type="dxa"/>
            <w:shd w:val="clear" w:color="auto" w:fill="ACCBF9" w:themeFill="background2"/>
          </w:tcPr>
          <w:p w:rsidR="00046BF2" w:rsidRPr="003E582C" w:rsidRDefault="00046BF2" w:rsidP="003E582C">
            <w:pPr>
              <w:pStyle w:val="Heading2"/>
              <w:outlineLvl w:val="1"/>
              <w:rPr>
                <w:sz w:val="28"/>
              </w:rPr>
            </w:pPr>
            <w:r w:rsidRPr="003E582C">
              <w:rPr>
                <w:sz w:val="28"/>
              </w:rPr>
              <w:t>What should we ask?</w:t>
            </w:r>
          </w:p>
        </w:tc>
      </w:tr>
      <w:tr w:rsidR="00046BF2" w:rsidTr="00046BF2">
        <w:tc>
          <w:tcPr>
            <w:tcW w:w="3192" w:type="dxa"/>
          </w:tcPr>
          <w:p w:rsidR="00046BF2" w:rsidRDefault="003E582C" w:rsidP="00103542">
            <w:r w:rsidRPr="00991E74">
              <w:rPr>
                <w:rFonts w:cstheme="minorHAnsi"/>
                <w:sz w:val="24"/>
                <w:szCs w:val="24"/>
              </w:rPr>
              <w:t>Positive stories about how families and people with dementia have accessed information and resources in early stages</w:t>
            </w:r>
          </w:p>
        </w:tc>
        <w:tc>
          <w:tcPr>
            <w:tcW w:w="3192" w:type="dxa"/>
          </w:tcPr>
          <w:p w:rsidR="00046BF2" w:rsidRPr="00481A86" w:rsidRDefault="003E582C" w:rsidP="00481A86">
            <w:pPr>
              <w:pStyle w:val="ListParagraph"/>
              <w:numPr>
                <w:ilvl w:val="0"/>
                <w:numId w:val="8"/>
              </w:numPr>
              <w:ind w:left="352" w:hanging="352"/>
              <w:rPr>
                <w:i w:val="0"/>
              </w:rPr>
            </w:pPr>
            <w:r w:rsidRPr="00481A86">
              <w:rPr>
                <w:rFonts w:cstheme="minorHAnsi"/>
                <w:i w:val="0"/>
                <w:sz w:val="24"/>
                <w:szCs w:val="24"/>
              </w:rPr>
              <w:t>To maintain some consistency in the care continuum</w:t>
            </w:r>
          </w:p>
        </w:tc>
        <w:tc>
          <w:tcPr>
            <w:tcW w:w="3192" w:type="dxa"/>
          </w:tcPr>
          <w:p w:rsidR="003E582C" w:rsidRPr="003E582C" w:rsidRDefault="003E582C" w:rsidP="00481A86">
            <w:pPr>
              <w:pStyle w:val="ListParagraph"/>
              <w:numPr>
                <w:ilvl w:val="0"/>
                <w:numId w:val="6"/>
              </w:numPr>
              <w:ind w:left="279" w:hanging="279"/>
              <w:contextualSpacing w:val="0"/>
              <w:rPr>
                <w:rFonts w:eastAsia="Calibri" w:cstheme="minorHAnsi"/>
                <w:i w:val="0"/>
                <w:color w:val="000000"/>
                <w:sz w:val="24"/>
                <w:szCs w:val="24"/>
              </w:rPr>
            </w:pPr>
            <w:r w:rsidRPr="003E582C">
              <w:rPr>
                <w:rFonts w:eastAsia="Calibri" w:cstheme="minorHAnsi"/>
                <w:i w:val="0"/>
                <w:color w:val="000000"/>
                <w:sz w:val="24"/>
                <w:szCs w:val="24"/>
              </w:rPr>
              <w:t>If you could suggest ways to improve the care and support you are receiving, what would you suggest?</w:t>
            </w:r>
          </w:p>
          <w:p w:rsidR="003E582C" w:rsidRPr="003E582C" w:rsidRDefault="003E582C" w:rsidP="00481A86">
            <w:pPr>
              <w:pStyle w:val="ListParagraph"/>
              <w:numPr>
                <w:ilvl w:val="0"/>
                <w:numId w:val="6"/>
              </w:numPr>
              <w:ind w:left="279" w:hanging="279"/>
              <w:contextualSpacing w:val="0"/>
              <w:rPr>
                <w:rFonts w:eastAsia="Calibri" w:cstheme="minorHAnsi"/>
                <w:i w:val="0"/>
                <w:color w:val="000000"/>
                <w:sz w:val="24"/>
                <w:szCs w:val="24"/>
              </w:rPr>
            </w:pPr>
            <w:r w:rsidRPr="003E582C">
              <w:rPr>
                <w:rFonts w:eastAsia="Calibri" w:cstheme="minorHAnsi"/>
                <w:i w:val="0"/>
                <w:color w:val="000000"/>
                <w:sz w:val="24"/>
                <w:szCs w:val="24"/>
              </w:rPr>
              <w:t xml:space="preserve">Describe any resources, information, or supports </w:t>
            </w:r>
            <w:r w:rsidRPr="003E582C">
              <w:rPr>
                <w:rFonts w:cstheme="minorHAnsi"/>
                <w:i w:val="0"/>
                <w:color w:val="000000"/>
                <w:sz w:val="24"/>
                <w:szCs w:val="24"/>
              </w:rPr>
              <w:t xml:space="preserve">related to dementia </w:t>
            </w:r>
            <w:r w:rsidRPr="003E582C">
              <w:rPr>
                <w:rFonts w:eastAsia="Calibri" w:cstheme="minorHAnsi"/>
                <w:i w:val="0"/>
                <w:color w:val="000000"/>
                <w:sz w:val="24"/>
                <w:szCs w:val="24"/>
              </w:rPr>
              <w:t>that you have found useful.</w:t>
            </w:r>
          </w:p>
          <w:p w:rsidR="00046BF2" w:rsidRPr="003E582C" w:rsidRDefault="00046BF2" w:rsidP="00103542"/>
        </w:tc>
      </w:tr>
      <w:tr w:rsidR="00046BF2" w:rsidTr="00046BF2">
        <w:tc>
          <w:tcPr>
            <w:tcW w:w="3192" w:type="dxa"/>
          </w:tcPr>
          <w:p w:rsidR="003E582C" w:rsidRPr="00991E74" w:rsidRDefault="003E582C" w:rsidP="003E582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991E74">
              <w:rPr>
                <w:rFonts w:cstheme="minorHAnsi"/>
                <w:sz w:val="24"/>
                <w:szCs w:val="24"/>
              </w:rPr>
              <w:t xml:space="preserve">What it takes to develop care </w:t>
            </w:r>
            <w:proofErr w:type="gramStart"/>
            <w:r w:rsidRPr="00991E74">
              <w:rPr>
                <w:rFonts w:cstheme="minorHAnsi"/>
                <w:sz w:val="24"/>
                <w:szCs w:val="24"/>
              </w:rPr>
              <w:t xml:space="preserve">relationships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91E74">
              <w:rPr>
                <w:rFonts w:cstheme="minorHAnsi"/>
                <w:sz w:val="24"/>
                <w:szCs w:val="24"/>
              </w:rPr>
              <w:t>early</w:t>
            </w:r>
            <w:proofErr w:type="gramEnd"/>
            <w:r w:rsidRPr="00991E74">
              <w:rPr>
                <w:rFonts w:cstheme="minorHAnsi"/>
                <w:sz w:val="24"/>
                <w:szCs w:val="24"/>
              </w:rPr>
              <w:t xml:space="preserve"> on and sustain them over time</w:t>
            </w:r>
            <w:r w:rsidR="00481A86">
              <w:rPr>
                <w:rFonts w:cstheme="minorHAnsi"/>
                <w:sz w:val="24"/>
                <w:szCs w:val="24"/>
              </w:rPr>
              <w:t>?</w:t>
            </w:r>
          </w:p>
          <w:p w:rsidR="00046BF2" w:rsidRDefault="00046BF2" w:rsidP="00103542"/>
        </w:tc>
        <w:tc>
          <w:tcPr>
            <w:tcW w:w="3192" w:type="dxa"/>
          </w:tcPr>
          <w:p w:rsidR="003E582C" w:rsidRPr="003E582C" w:rsidRDefault="003E582C" w:rsidP="003E582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17"/>
              <w:rPr>
                <w:rFonts w:cstheme="minorHAnsi"/>
                <w:i w:val="0"/>
                <w:sz w:val="24"/>
                <w:szCs w:val="24"/>
              </w:rPr>
            </w:pPr>
            <w:r w:rsidRPr="003E582C">
              <w:rPr>
                <w:rFonts w:cstheme="minorHAnsi"/>
                <w:i w:val="0"/>
                <w:sz w:val="24"/>
                <w:szCs w:val="24"/>
              </w:rPr>
              <w:t>To create comfortable relationships that enable persons with dementia to participate in their care</w:t>
            </w:r>
          </w:p>
          <w:p w:rsidR="003E582C" w:rsidRDefault="003E582C" w:rsidP="003E582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17"/>
              <w:rPr>
                <w:rFonts w:cstheme="minorHAnsi"/>
                <w:i w:val="0"/>
                <w:sz w:val="24"/>
                <w:szCs w:val="24"/>
              </w:rPr>
            </w:pPr>
            <w:r w:rsidRPr="003E582C">
              <w:rPr>
                <w:rFonts w:cstheme="minorHAnsi"/>
                <w:i w:val="0"/>
                <w:sz w:val="24"/>
                <w:szCs w:val="24"/>
              </w:rPr>
              <w:t>To form relationships with family and clients early on to help them transition through the stages of the disease.</w:t>
            </w:r>
          </w:p>
          <w:p w:rsidR="00046BF2" w:rsidRPr="003E582C" w:rsidRDefault="003E582C" w:rsidP="003E582C">
            <w:pPr>
              <w:pStyle w:val="ListParagraph"/>
              <w:numPr>
                <w:ilvl w:val="0"/>
                <w:numId w:val="4"/>
              </w:numPr>
              <w:spacing w:before="120" w:after="120"/>
              <w:ind w:left="317"/>
              <w:rPr>
                <w:rFonts w:cstheme="minorHAnsi"/>
                <w:i w:val="0"/>
                <w:sz w:val="24"/>
                <w:szCs w:val="24"/>
              </w:rPr>
            </w:pPr>
            <w:r w:rsidRPr="003E582C">
              <w:rPr>
                <w:rFonts w:cstheme="minorHAnsi"/>
                <w:i w:val="0"/>
                <w:sz w:val="24"/>
                <w:szCs w:val="24"/>
              </w:rPr>
              <w:t>To work as a consistent team.</w:t>
            </w:r>
          </w:p>
        </w:tc>
        <w:tc>
          <w:tcPr>
            <w:tcW w:w="3192" w:type="dxa"/>
          </w:tcPr>
          <w:p w:rsidR="003E582C" w:rsidRPr="003E582C" w:rsidRDefault="003E582C" w:rsidP="00481A86">
            <w:pPr>
              <w:pStyle w:val="ListParagraph"/>
              <w:numPr>
                <w:ilvl w:val="0"/>
                <w:numId w:val="4"/>
              </w:numPr>
              <w:ind w:left="279" w:hanging="279"/>
              <w:contextualSpacing w:val="0"/>
              <w:rPr>
                <w:rFonts w:eastAsia="Calibri" w:cstheme="minorHAnsi"/>
                <w:i w:val="0"/>
                <w:color w:val="000000"/>
                <w:sz w:val="24"/>
                <w:szCs w:val="24"/>
              </w:rPr>
            </w:pPr>
            <w:r w:rsidRPr="003E582C">
              <w:rPr>
                <w:rFonts w:eastAsia="Calibri" w:cstheme="minorHAnsi"/>
                <w:i w:val="0"/>
                <w:color w:val="000000"/>
                <w:sz w:val="24"/>
                <w:szCs w:val="24"/>
              </w:rPr>
              <w:t>Describe a positive experience or support that helped you most with your role as a caregiver.</w:t>
            </w:r>
          </w:p>
          <w:p w:rsidR="003E582C" w:rsidRDefault="003E582C" w:rsidP="00481A86">
            <w:pPr>
              <w:pStyle w:val="ListParagraph"/>
              <w:numPr>
                <w:ilvl w:val="0"/>
                <w:numId w:val="4"/>
              </w:numPr>
              <w:ind w:left="279" w:hanging="279"/>
              <w:contextualSpacing w:val="0"/>
              <w:rPr>
                <w:rFonts w:eastAsia="Calibri" w:cstheme="minorHAnsi"/>
                <w:i w:val="0"/>
                <w:color w:val="000000"/>
                <w:sz w:val="24"/>
                <w:szCs w:val="24"/>
              </w:rPr>
            </w:pPr>
            <w:r w:rsidRPr="003E582C">
              <w:rPr>
                <w:rFonts w:cstheme="minorHAnsi"/>
                <w:i w:val="0"/>
                <w:color w:val="000000"/>
                <w:sz w:val="24"/>
                <w:szCs w:val="24"/>
              </w:rPr>
              <w:t>Describe a positive helping/caring experience that you have been a part of.</w:t>
            </w:r>
          </w:p>
          <w:p w:rsidR="003E582C" w:rsidRPr="00991E74" w:rsidRDefault="003E582C" w:rsidP="00481A86">
            <w:pPr>
              <w:numPr>
                <w:ilvl w:val="0"/>
                <w:numId w:val="4"/>
              </w:numPr>
              <w:ind w:left="279" w:hanging="279"/>
              <w:contextualSpacing w:val="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991E74">
              <w:rPr>
                <w:rFonts w:eastAsia="Calibri" w:cstheme="minorHAnsi"/>
                <w:color w:val="000000"/>
                <w:sz w:val="24"/>
                <w:szCs w:val="24"/>
              </w:rPr>
              <w:t>What strategies do you use</w:t>
            </w:r>
            <w:r>
              <w:rPr>
                <w:rFonts w:eastAsia="Calibri" w:cstheme="minorHAnsi"/>
                <w:color w:val="000000"/>
                <w:sz w:val="24"/>
                <w:szCs w:val="24"/>
              </w:rPr>
              <w:t xml:space="preserve"> as a staff member</w:t>
            </w:r>
            <w:r w:rsidRPr="00991E74">
              <w:rPr>
                <w:rFonts w:eastAsia="Calibri" w:cstheme="minorHAnsi"/>
                <w:color w:val="000000"/>
                <w:sz w:val="24"/>
                <w:szCs w:val="24"/>
              </w:rPr>
              <w:t xml:space="preserve"> to maintain professional boundaries while building caring experiences with your clients and their family members?</w:t>
            </w:r>
          </w:p>
          <w:p w:rsidR="003E582C" w:rsidRPr="003E582C" w:rsidRDefault="003E582C" w:rsidP="003E582C">
            <w:pPr>
              <w:pStyle w:val="ListParagraph"/>
              <w:contextualSpacing w:val="0"/>
              <w:rPr>
                <w:rFonts w:eastAsia="Calibri" w:cstheme="minorHAnsi"/>
                <w:i w:val="0"/>
                <w:color w:val="000000"/>
                <w:sz w:val="24"/>
                <w:szCs w:val="24"/>
              </w:rPr>
            </w:pPr>
          </w:p>
          <w:p w:rsidR="00046BF2" w:rsidRPr="003E582C" w:rsidRDefault="00046BF2" w:rsidP="00103542"/>
        </w:tc>
      </w:tr>
    </w:tbl>
    <w:p w:rsidR="00046BF2" w:rsidRDefault="00046BF2" w:rsidP="00103542"/>
    <w:p w:rsidR="00046BF2" w:rsidRDefault="00046BF2" w:rsidP="00103542"/>
    <w:p w:rsidR="00046BF2" w:rsidRDefault="00046BF2" w:rsidP="00103542"/>
    <w:p w:rsidR="003E582C" w:rsidRDefault="003E582C" w:rsidP="00103542"/>
    <w:p w:rsidR="003E582C" w:rsidRDefault="003E582C" w:rsidP="00103542"/>
    <w:p w:rsidR="003E582C" w:rsidRDefault="003E582C" w:rsidP="00103542"/>
    <w:p w:rsidR="003E582C" w:rsidRDefault="003E582C" w:rsidP="00103542"/>
    <w:p w:rsidR="003E582C" w:rsidRDefault="003E582C" w:rsidP="00103542"/>
    <w:p w:rsidR="00D4171F" w:rsidRPr="002042B9" w:rsidRDefault="00D4171F" w:rsidP="002E1A5A">
      <w:pPr>
        <w:tabs>
          <w:tab w:val="left" w:pos="3086"/>
        </w:tabs>
      </w:pPr>
    </w:p>
    <w:sectPr w:rsidR="00D4171F" w:rsidRPr="002042B9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42" w:rsidRDefault="00103542" w:rsidP="00190000">
      <w:pPr>
        <w:spacing w:after="0" w:line="240" w:lineRule="auto"/>
      </w:pPr>
      <w:r>
        <w:separator/>
      </w:r>
    </w:p>
  </w:endnote>
  <w:endnote w:type="continuationSeparator" w:id="0">
    <w:p w:rsidR="00103542" w:rsidRDefault="00103542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42" w:rsidRDefault="00103542" w:rsidP="00190000">
      <w:pPr>
        <w:spacing w:after="0" w:line="240" w:lineRule="auto"/>
      </w:pPr>
      <w:r>
        <w:separator/>
      </w:r>
    </w:p>
  </w:footnote>
  <w:footnote w:type="continuationSeparator" w:id="0">
    <w:p w:rsidR="00103542" w:rsidRDefault="00103542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19D"/>
    <w:multiLevelType w:val="hybridMultilevel"/>
    <w:tmpl w:val="860E50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1123"/>
    <w:multiLevelType w:val="hybridMultilevel"/>
    <w:tmpl w:val="4F2E10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627C0"/>
    <w:multiLevelType w:val="hybridMultilevel"/>
    <w:tmpl w:val="43685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630F"/>
    <w:multiLevelType w:val="hybridMultilevel"/>
    <w:tmpl w:val="DE669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12FA9"/>
    <w:multiLevelType w:val="hybridMultilevel"/>
    <w:tmpl w:val="4D8C7C40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2197E"/>
    <w:multiLevelType w:val="hybridMultilevel"/>
    <w:tmpl w:val="F26228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801B9"/>
    <w:multiLevelType w:val="hybridMultilevel"/>
    <w:tmpl w:val="994C96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878BB"/>
    <w:multiLevelType w:val="hybridMultilevel"/>
    <w:tmpl w:val="4E86D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42"/>
    <w:rsid w:val="00046BF2"/>
    <w:rsid w:val="00103542"/>
    <w:rsid w:val="00190000"/>
    <w:rsid w:val="002042B9"/>
    <w:rsid w:val="002E1A5A"/>
    <w:rsid w:val="003E582C"/>
    <w:rsid w:val="00411533"/>
    <w:rsid w:val="00481A86"/>
    <w:rsid w:val="004B3778"/>
    <w:rsid w:val="005A3BB0"/>
    <w:rsid w:val="005E2F65"/>
    <w:rsid w:val="00676F60"/>
    <w:rsid w:val="00843EB1"/>
    <w:rsid w:val="008A381E"/>
    <w:rsid w:val="00D4171F"/>
    <w:rsid w:val="00D92DCC"/>
    <w:rsid w:val="00EB0E21"/>
    <w:rsid w:val="00EE22BB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3EB1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EB1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41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43EB1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EB1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41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1</TotalTime>
  <Pages>2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2</cp:revision>
  <cp:lastPrinted>2013-07-23T20:12:00Z</cp:lastPrinted>
  <dcterms:created xsi:type="dcterms:W3CDTF">2013-07-29T18:49:00Z</dcterms:created>
  <dcterms:modified xsi:type="dcterms:W3CDTF">2013-07-29T18:49:00Z</dcterms:modified>
</cp:coreProperties>
</file>