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8FB3" w14:textId="04722A27" w:rsidR="0003490F" w:rsidRPr="00F46E64" w:rsidRDefault="004F79F8" w:rsidP="0003490F">
      <w:pPr>
        <w:jc w:val="center"/>
        <w:rPr>
          <w:b/>
        </w:rPr>
      </w:pPr>
      <w:r>
        <w:rPr>
          <w:b/>
        </w:rPr>
        <w:t xml:space="preserve"> </w:t>
      </w:r>
      <w:r w:rsidR="0003490F" w:rsidRPr="00F46E64">
        <w:rPr>
          <w:b/>
        </w:rPr>
        <w:t>UNIVERSITY OF WATERLOO AND ST PAUL’S UNIVERSITY COLLEGE</w:t>
      </w:r>
    </w:p>
    <w:p w14:paraId="79FEB512" w14:textId="2F2E78AB" w:rsidR="0003490F" w:rsidRDefault="0003490F" w:rsidP="00FC12A0">
      <w:pPr>
        <w:jc w:val="center"/>
        <w:rPr>
          <w:b/>
        </w:rPr>
      </w:pPr>
      <w:r w:rsidRPr="00F46E64">
        <w:rPr>
          <w:b/>
        </w:rPr>
        <w:t>W</w:t>
      </w:r>
      <w:r w:rsidR="00F46E64">
        <w:rPr>
          <w:b/>
        </w:rPr>
        <w:t xml:space="preserve">inter Session, </w:t>
      </w:r>
      <w:r w:rsidR="00B73E22" w:rsidRPr="00F46E64">
        <w:rPr>
          <w:b/>
        </w:rPr>
        <w:t>20</w:t>
      </w:r>
      <w:r w:rsidRPr="00F46E64">
        <w:rPr>
          <w:b/>
        </w:rPr>
        <w:t>2</w:t>
      </w:r>
      <w:r w:rsidR="00E03415" w:rsidRPr="00F46E64">
        <w:rPr>
          <w:b/>
        </w:rPr>
        <w:t>1</w:t>
      </w:r>
    </w:p>
    <w:p w14:paraId="24D7F484" w14:textId="77777777" w:rsidR="00FC12A0" w:rsidRPr="00F46E64" w:rsidRDefault="00FC12A0" w:rsidP="00FC12A0">
      <w:pPr>
        <w:jc w:val="center"/>
        <w:rPr>
          <w:b/>
        </w:rPr>
      </w:pPr>
    </w:p>
    <w:p w14:paraId="2ECD51A3" w14:textId="77F55D91" w:rsidR="00FC12A0" w:rsidRDefault="00FC12A0" w:rsidP="00FC12A0">
      <w:pPr>
        <w:jc w:val="center"/>
        <w:rPr>
          <w:b/>
        </w:rPr>
      </w:pPr>
      <w:r>
        <w:rPr>
          <w:b/>
        </w:rPr>
        <w:t>SCHOOL OF ENVIRONMENT, ENTERPRISE AND DEVELOPMENT</w:t>
      </w:r>
    </w:p>
    <w:p w14:paraId="22B27F89" w14:textId="0836865D" w:rsidR="0003490F" w:rsidRPr="00F46E64" w:rsidRDefault="0003490F" w:rsidP="00FC12A0">
      <w:pPr>
        <w:jc w:val="center"/>
        <w:rPr>
          <w:b/>
        </w:rPr>
      </w:pPr>
      <w:r w:rsidRPr="00F46E64">
        <w:rPr>
          <w:b/>
        </w:rPr>
        <w:t>INDEV 300</w:t>
      </w:r>
      <w:r w:rsidR="00F46E64">
        <w:rPr>
          <w:b/>
        </w:rPr>
        <w:t xml:space="preserve">: </w:t>
      </w:r>
      <w:r w:rsidRPr="00F46E64">
        <w:rPr>
          <w:b/>
        </w:rPr>
        <w:t>CULTURE AND ETHICS</w:t>
      </w:r>
    </w:p>
    <w:p w14:paraId="332EB5FE" w14:textId="77777777" w:rsidR="00FC12A0" w:rsidRDefault="00FC12A0" w:rsidP="00FC12A0">
      <w:pPr>
        <w:jc w:val="center"/>
        <w:rPr>
          <w:b/>
        </w:rPr>
      </w:pPr>
    </w:p>
    <w:p w14:paraId="10DB654D" w14:textId="18AAECB1" w:rsidR="004036B5" w:rsidRDefault="00F46E64" w:rsidP="00FC12A0">
      <w:pPr>
        <w:jc w:val="center"/>
        <w:rPr>
          <w:bCs/>
        </w:rPr>
      </w:pPr>
      <w:r>
        <w:rPr>
          <w:b/>
        </w:rPr>
        <w:t xml:space="preserve">Course Lectures: </w:t>
      </w:r>
      <w:r w:rsidRPr="00FC12A0">
        <w:rPr>
          <w:bCs/>
        </w:rPr>
        <w:t>This course is ONLINE and ASYNCHRONOUS</w:t>
      </w:r>
    </w:p>
    <w:p w14:paraId="7046F074" w14:textId="033B2F13" w:rsidR="00C00747" w:rsidRPr="008E6995" w:rsidRDefault="008E6995" w:rsidP="00FC12A0">
      <w:pPr>
        <w:jc w:val="center"/>
        <w:rPr>
          <w:b/>
        </w:rPr>
      </w:pPr>
      <w:r w:rsidRPr="008E6995">
        <w:rPr>
          <w:b/>
        </w:rPr>
        <w:t xml:space="preserve">ALL COURSE CONTENT </w:t>
      </w:r>
      <w:r w:rsidR="00460B16">
        <w:rPr>
          <w:b/>
        </w:rPr>
        <w:t xml:space="preserve">AND INSTRUCTION </w:t>
      </w:r>
      <w:r w:rsidRPr="008E6995">
        <w:rPr>
          <w:b/>
        </w:rPr>
        <w:t xml:space="preserve">WILL BE </w:t>
      </w:r>
      <w:r w:rsidR="00460B16">
        <w:rPr>
          <w:b/>
        </w:rPr>
        <w:t>WATERLOO</w:t>
      </w:r>
      <w:r w:rsidRPr="008E6995">
        <w:rPr>
          <w:b/>
        </w:rPr>
        <w:t xml:space="preserve"> LEARN</w:t>
      </w:r>
    </w:p>
    <w:p w14:paraId="088014FB" w14:textId="77777777" w:rsidR="00F46E64" w:rsidRPr="00F46E64" w:rsidRDefault="00F46E64" w:rsidP="00F46E64">
      <w:pPr>
        <w:rPr>
          <w:b/>
        </w:rPr>
      </w:pPr>
    </w:p>
    <w:p w14:paraId="4E4F3A55" w14:textId="3633A6B6" w:rsidR="0003490F" w:rsidRPr="00F46E64" w:rsidRDefault="000C3006" w:rsidP="007A440F">
      <w:pPr>
        <w:pBdr>
          <w:top w:val="single" w:sz="4" w:space="1" w:color="auto"/>
          <w:left w:val="single" w:sz="4" w:space="4" w:color="auto"/>
          <w:bottom w:val="single" w:sz="4" w:space="1" w:color="auto"/>
          <w:right w:val="single" w:sz="4" w:space="4" w:color="auto"/>
        </w:pBdr>
        <w:rPr>
          <w:bCs/>
          <w:color w:val="000000" w:themeColor="text1"/>
        </w:rPr>
      </w:pPr>
      <w:r w:rsidRPr="00F46E64">
        <w:rPr>
          <w:b/>
          <w:color w:val="000000" w:themeColor="text1"/>
        </w:rPr>
        <w:t xml:space="preserve">Course Instructor: </w:t>
      </w:r>
      <w:r w:rsidR="0003490F" w:rsidRPr="00F46E64">
        <w:rPr>
          <w:bCs/>
          <w:color w:val="000000" w:themeColor="text1"/>
        </w:rPr>
        <w:t>Dr</w:t>
      </w:r>
      <w:r w:rsidR="00571372" w:rsidRPr="00F46E64">
        <w:rPr>
          <w:bCs/>
          <w:color w:val="000000" w:themeColor="text1"/>
        </w:rPr>
        <w:t>.</w:t>
      </w:r>
      <w:r w:rsidR="0003490F" w:rsidRPr="00F46E64">
        <w:rPr>
          <w:bCs/>
          <w:color w:val="000000" w:themeColor="text1"/>
        </w:rPr>
        <w:t xml:space="preserve"> </w:t>
      </w:r>
      <w:r w:rsidR="00571372" w:rsidRPr="00F46E64">
        <w:rPr>
          <w:bCs/>
          <w:color w:val="000000" w:themeColor="text1"/>
        </w:rPr>
        <w:t>Natasha Tang Kai</w:t>
      </w:r>
    </w:p>
    <w:p w14:paraId="188E7E3A" w14:textId="52802226" w:rsidR="00B62E78" w:rsidRPr="00F46E64" w:rsidRDefault="00B62E78" w:rsidP="007A440F">
      <w:pPr>
        <w:pBdr>
          <w:top w:val="single" w:sz="4" w:space="1" w:color="auto"/>
          <w:left w:val="single" w:sz="4" w:space="4" w:color="auto"/>
          <w:bottom w:val="single" w:sz="4" w:space="1" w:color="auto"/>
          <w:right w:val="single" w:sz="4" w:space="4" w:color="auto"/>
        </w:pBdr>
        <w:rPr>
          <w:b/>
          <w:color w:val="000000" w:themeColor="text1"/>
        </w:rPr>
      </w:pPr>
      <w:r w:rsidRPr="00F46E64">
        <w:rPr>
          <w:b/>
          <w:color w:val="000000" w:themeColor="text1"/>
        </w:rPr>
        <w:t>Office</w:t>
      </w:r>
      <w:r w:rsidR="000C3006" w:rsidRPr="00F46E64">
        <w:rPr>
          <w:b/>
          <w:color w:val="000000" w:themeColor="text1"/>
        </w:rPr>
        <w:t xml:space="preserve"> Hours</w:t>
      </w:r>
      <w:r w:rsidRPr="00F46E64">
        <w:rPr>
          <w:b/>
          <w:color w:val="000000" w:themeColor="text1"/>
        </w:rPr>
        <w:t xml:space="preserve">: </w:t>
      </w:r>
      <w:r w:rsidR="00FC12A0" w:rsidRPr="00FC12A0">
        <w:rPr>
          <w:bCs/>
          <w:color w:val="000000" w:themeColor="text1"/>
        </w:rPr>
        <w:t>Wednesday: 1:30 – 3:30</w:t>
      </w:r>
      <w:r w:rsidR="00E83198">
        <w:rPr>
          <w:bCs/>
          <w:color w:val="000000" w:themeColor="text1"/>
        </w:rPr>
        <w:t>pm</w:t>
      </w:r>
      <w:r w:rsidR="00C00747">
        <w:rPr>
          <w:bCs/>
          <w:color w:val="000000" w:themeColor="text1"/>
        </w:rPr>
        <w:t xml:space="preserve"> </w:t>
      </w:r>
      <w:r w:rsidR="00C00747" w:rsidRPr="00C00747">
        <w:rPr>
          <w:bCs/>
          <w:color w:val="000000" w:themeColor="text1"/>
          <w:highlight w:val="yellow"/>
        </w:rPr>
        <w:t>(via what platform</w:t>
      </w:r>
      <w:r w:rsidR="00C00747">
        <w:rPr>
          <w:bCs/>
          <w:color w:val="000000" w:themeColor="text1"/>
          <w:highlight w:val="yellow"/>
        </w:rPr>
        <w:t>?</w:t>
      </w:r>
      <w:r w:rsidR="00C00747" w:rsidRPr="00C00747">
        <w:rPr>
          <w:bCs/>
          <w:color w:val="000000" w:themeColor="text1"/>
          <w:highlight w:val="yellow"/>
        </w:rPr>
        <w:t>)</w:t>
      </w:r>
    </w:p>
    <w:p w14:paraId="77F76FDB" w14:textId="7BF611EB" w:rsidR="006A7C8C" w:rsidRPr="00F46E64" w:rsidRDefault="000C3006" w:rsidP="007A440F">
      <w:pPr>
        <w:pBdr>
          <w:top w:val="single" w:sz="4" w:space="1" w:color="auto"/>
          <w:left w:val="single" w:sz="4" w:space="4" w:color="auto"/>
          <w:bottom w:val="single" w:sz="4" w:space="1" w:color="auto"/>
          <w:right w:val="single" w:sz="4" w:space="4" w:color="auto"/>
        </w:pBdr>
        <w:rPr>
          <w:color w:val="000000" w:themeColor="text1"/>
        </w:rPr>
      </w:pPr>
      <w:r w:rsidRPr="00F46E64">
        <w:rPr>
          <w:b/>
          <w:color w:val="000000" w:themeColor="text1"/>
        </w:rPr>
        <w:t xml:space="preserve">Contact: </w:t>
      </w:r>
      <w:hyperlink r:id="rId11" w:history="1">
        <w:r w:rsidR="006A7C8C" w:rsidRPr="00F46E64">
          <w:rPr>
            <w:rStyle w:val="Hyperlink"/>
            <w:color w:val="000000" w:themeColor="text1"/>
          </w:rPr>
          <w:t>natasha.tangkai@uwaterloo.ca</w:t>
        </w:r>
      </w:hyperlink>
      <w:r w:rsidR="0098444D">
        <w:rPr>
          <w:rStyle w:val="Hyperlink"/>
          <w:color w:val="000000" w:themeColor="text1"/>
        </w:rPr>
        <w:t xml:space="preserve"> </w:t>
      </w:r>
    </w:p>
    <w:p w14:paraId="0F0CC34B" w14:textId="77777777" w:rsidR="0090636C" w:rsidRPr="00F46E64" w:rsidRDefault="0090636C" w:rsidP="00AE6152">
      <w:pPr>
        <w:rPr>
          <w:b/>
        </w:rPr>
      </w:pPr>
    </w:p>
    <w:p w14:paraId="62403103" w14:textId="5B6336B4" w:rsidR="0003490F" w:rsidRPr="00F46E64" w:rsidRDefault="00FC12A0" w:rsidP="0003490F">
      <w:pPr>
        <w:rPr>
          <w:b/>
          <w:bCs/>
        </w:rPr>
      </w:pPr>
      <w:r>
        <w:rPr>
          <w:b/>
          <w:bCs/>
        </w:rPr>
        <w:t>COURSE OVERVIEW</w:t>
      </w:r>
    </w:p>
    <w:p w14:paraId="08486922" w14:textId="77777777" w:rsidR="00AE6152" w:rsidRDefault="00AE6152" w:rsidP="008713AD">
      <w:pPr>
        <w:jc w:val="both"/>
      </w:pPr>
    </w:p>
    <w:p w14:paraId="6E96BC3E" w14:textId="4AA9D007" w:rsidR="006568FF" w:rsidRPr="00FC12A0" w:rsidRDefault="00935C85" w:rsidP="009C1C97">
      <w:pPr>
        <w:jc w:val="both"/>
      </w:pPr>
      <w:r>
        <w:t>Culture and ethics inform the way we think, act and live. It</w:t>
      </w:r>
      <w:r w:rsidR="00A823CE">
        <w:t xml:space="preserve">s </w:t>
      </w:r>
      <w:r>
        <w:t>ingrained</w:t>
      </w:r>
      <w:r w:rsidR="00A823CE">
        <w:t xml:space="preserve"> in behavior</w:t>
      </w:r>
      <w:r>
        <w:t xml:space="preserve"> </w:t>
      </w:r>
      <w:r w:rsidR="00A823CE">
        <w:t xml:space="preserve">and the normative approach of </w:t>
      </w:r>
      <w:r>
        <w:t>societies</w:t>
      </w:r>
      <w:r w:rsidR="00A823CE">
        <w:t xml:space="preserve"> today. In this course, we will examine culture and ethics</w:t>
      </w:r>
      <w:r w:rsidR="00717D4D">
        <w:t xml:space="preserve"> in different parts of the globe, exploring </w:t>
      </w:r>
      <w:r w:rsidR="00CE20A3" w:rsidRPr="00FC12A0">
        <w:t>ethical and moral dilemmas</w:t>
      </w:r>
      <w:r w:rsidR="00D91211" w:rsidRPr="00FC12A0">
        <w:t xml:space="preserve"> in development. </w:t>
      </w:r>
      <w:r w:rsidR="009D6813" w:rsidRPr="00FC12A0">
        <w:t>Students are encourage</w:t>
      </w:r>
      <w:r w:rsidR="00136DA0" w:rsidRPr="00FC12A0">
        <w:t>d</w:t>
      </w:r>
      <w:r w:rsidR="009D6813" w:rsidRPr="00FC12A0">
        <w:t xml:space="preserve"> to </w:t>
      </w:r>
      <w:r w:rsidR="00FF562E" w:rsidRPr="00FC12A0">
        <w:t>‘engage’ in development but to be reflective on the ‘terms of engagement’</w:t>
      </w:r>
      <w:r w:rsidR="00136DA0" w:rsidRPr="00FC12A0">
        <w:t>, t</w:t>
      </w:r>
      <w:r w:rsidR="00C6107A" w:rsidRPr="00FC12A0">
        <w:t>he intentional and uni</w:t>
      </w:r>
      <w:r w:rsidR="00755609" w:rsidRPr="00FC12A0">
        <w:t>n</w:t>
      </w:r>
      <w:r w:rsidR="00C6107A" w:rsidRPr="00FC12A0">
        <w:t xml:space="preserve">tentional signals sent by ‘doing’ </w:t>
      </w:r>
      <w:r w:rsidR="00B26B3F" w:rsidRPr="00FC12A0">
        <w:t>devel</w:t>
      </w:r>
      <w:r w:rsidR="00FC12A0">
        <w:t>o</w:t>
      </w:r>
      <w:r w:rsidR="00C6107A" w:rsidRPr="00FC12A0">
        <w:t xml:space="preserve">pment. </w:t>
      </w:r>
      <w:r w:rsidR="0003490F" w:rsidRPr="00FC12A0">
        <w:t>This course examines the politics and politicization of human differences</w:t>
      </w:r>
      <w:r w:rsidR="004958A7" w:rsidRPr="00FC12A0">
        <w:t xml:space="preserve"> and culture</w:t>
      </w:r>
      <w:r w:rsidR="0003490F" w:rsidRPr="00FC12A0">
        <w:t>. It explores how and why differences are established, and how and why those differences can result in controversy, conflict and violence.</w:t>
      </w:r>
      <w:r w:rsidR="008F4849" w:rsidRPr="00FC12A0">
        <w:t xml:space="preserve"> </w:t>
      </w:r>
      <w:r w:rsidR="00F70F92">
        <w:t xml:space="preserve">The course is divided into three parts, the first part titled </w:t>
      </w:r>
      <w:r w:rsidR="00F70F92">
        <w:rPr>
          <w:i/>
          <w:iCs/>
        </w:rPr>
        <w:t xml:space="preserve">“Framing the debates”, </w:t>
      </w:r>
      <w:r w:rsidR="008E6995">
        <w:t>explore</w:t>
      </w:r>
      <w:r w:rsidR="00C80281">
        <w:t>s</w:t>
      </w:r>
      <w:r w:rsidR="008E6995">
        <w:t xml:space="preserve"> concepts such as cultural relativity and review civilizational discourse</w:t>
      </w:r>
      <w:r w:rsidR="00B54D8D">
        <w:t>s</w:t>
      </w:r>
      <w:r w:rsidR="008E6995">
        <w:t xml:space="preserve">. </w:t>
      </w:r>
      <w:r w:rsidR="0063045B">
        <w:t xml:space="preserve">Part one </w:t>
      </w:r>
      <w:r w:rsidR="00A35781">
        <w:t xml:space="preserve">serves as a foundation for </w:t>
      </w:r>
      <w:r w:rsidR="0063045B">
        <w:t xml:space="preserve">the </w:t>
      </w:r>
      <w:r w:rsidR="00A35781">
        <w:t xml:space="preserve">moral and ethical </w:t>
      </w:r>
      <w:r w:rsidR="0063045B">
        <w:t xml:space="preserve">dilemmas and </w:t>
      </w:r>
      <w:r w:rsidR="00A35781">
        <w:t>discussions in the case studies that follow. Part two</w:t>
      </w:r>
      <w:r w:rsidR="0063045B">
        <w:t xml:space="preserve"> is</w:t>
      </w:r>
      <w:r w:rsidR="00A35781">
        <w:t xml:space="preserve"> </w:t>
      </w:r>
      <w:r w:rsidR="0063045B">
        <w:t xml:space="preserve">titled </w:t>
      </w:r>
      <w:r w:rsidR="00A35781" w:rsidRPr="00A35781">
        <w:rPr>
          <w:i/>
          <w:iCs/>
        </w:rPr>
        <w:t>“</w:t>
      </w:r>
      <w:r w:rsidR="00A35781">
        <w:rPr>
          <w:i/>
          <w:iCs/>
        </w:rPr>
        <w:t>Case Studies</w:t>
      </w:r>
      <w:r w:rsidR="00A35781" w:rsidRPr="00A35781">
        <w:rPr>
          <w:i/>
          <w:iCs/>
        </w:rPr>
        <w:t>”</w:t>
      </w:r>
      <w:r w:rsidR="00A35781">
        <w:rPr>
          <w:i/>
          <w:iCs/>
        </w:rPr>
        <w:t xml:space="preserve">, </w:t>
      </w:r>
      <w:r w:rsidR="0063045B" w:rsidRPr="0063045B">
        <w:t xml:space="preserve">we will explore </w:t>
      </w:r>
      <w:r w:rsidR="00A35781">
        <w:t>examples from Africa, Brazil and China on topics such as Harmful Traditional Practices, Eugenics</w:t>
      </w:r>
      <w:r w:rsidR="00C80281">
        <w:t xml:space="preserve"> and</w:t>
      </w:r>
      <w:r w:rsidR="00A80DB9">
        <w:t xml:space="preserve"> </w:t>
      </w:r>
      <w:r w:rsidR="00A35781">
        <w:t>business ethics</w:t>
      </w:r>
      <w:r w:rsidR="00C80281">
        <w:t>.</w:t>
      </w:r>
      <w:r w:rsidR="00A35781">
        <w:t xml:space="preserve"> </w:t>
      </w:r>
      <w:r w:rsidR="0063045B">
        <w:t>In p</w:t>
      </w:r>
      <w:r w:rsidR="00A80DB9">
        <w:t>art three</w:t>
      </w:r>
      <w:r w:rsidR="0063045B">
        <w:t>,</w:t>
      </w:r>
      <w:r w:rsidR="00A80DB9">
        <w:t xml:space="preserve"> </w:t>
      </w:r>
      <w:r w:rsidR="00C80281" w:rsidRPr="00C80281">
        <w:rPr>
          <w:i/>
          <w:iCs/>
        </w:rPr>
        <w:t>“Scandals and Controversies”</w:t>
      </w:r>
      <w:r w:rsidR="0063045B">
        <w:t xml:space="preserve">, </w:t>
      </w:r>
      <w:r w:rsidR="00C80281">
        <w:t xml:space="preserve">we follow </w:t>
      </w:r>
      <w:r w:rsidR="0063045B">
        <w:t xml:space="preserve">the </w:t>
      </w:r>
      <w:r w:rsidR="00C80281">
        <w:t xml:space="preserve">fairly </w:t>
      </w:r>
      <w:r w:rsidR="00A80DB9">
        <w:t>recent WE Charity and Oxfam scandals from a development context</w:t>
      </w:r>
      <w:r w:rsidR="0063045B">
        <w:t xml:space="preserve">, </w:t>
      </w:r>
      <w:r w:rsidR="009C1C97">
        <w:t>environmental racism and justice controversies.</w:t>
      </w:r>
    </w:p>
    <w:p w14:paraId="4CF64636" w14:textId="77777777" w:rsidR="00AE6152" w:rsidRDefault="00AE6152" w:rsidP="00C97605">
      <w:pPr>
        <w:rPr>
          <w:b/>
          <w:bCs/>
        </w:rPr>
      </w:pPr>
    </w:p>
    <w:p w14:paraId="4C7287E6" w14:textId="16B2305E" w:rsidR="00717D4D" w:rsidRPr="00717D4D" w:rsidRDefault="00717D4D" w:rsidP="00C97605">
      <w:pPr>
        <w:rPr>
          <w:b/>
          <w:bCs/>
        </w:rPr>
      </w:pPr>
      <w:r w:rsidRPr="00717D4D">
        <w:rPr>
          <w:b/>
          <w:bCs/>
        </w:rPr>
        <w:t>LEARNING OUTCOMES</w:t>
      </w:r>
    </w:p>
    <w:p w14:paraId="5087223B" w14:textId="77777777" w:rsidR="00717D4D" w:rsidRDefault="00717D4D" w:rsidP="00C97605"/>
    <w:p w14:paraId="1F1A6D57" w14:textId="5125029A" w:rsidR="00C97605" w:rsidRPr="00FC12A0" w:rsidRDefault="00717D4D" w:rsidP="00C97605">
      <w:r>
        <w:t>My aim in this course is to</w:t>
      </w:r>
      <w:r w:rsidR="009C1C97">
        <w:t xml:space="preserve">: </w:t>
      </w:r>
    </w:p>
    <w:p w14:paraId="112D3BC5" w14:textId="3EE57B94" w:rsidR="00C97605" w:rsidRPr="00FC12A0" w:rsidRDefault="00E146D7" w:rsidP="00C97605">
      <w:pPr>
        <w:pStyle w:val="ListParagraph"/>
        <w:numPr>
          <w:ilvl w:val="0"/>
          <w:numId w:val="7"/>
        </w:numPr>
      </w:pPr>
      <w:r w:rsidRPr="00FC12A0">
        <w:t xml:space="preserve">Engage students to </w:t>
      </w:r>
      <w:r w:rsidR="009C1C97" w:rsidRPr="00FC12A0">
        <w:t>REFLECT, CRITICALLY THINK AND DISCUSS</w:t>
      </w:r>
      <w:r w:rsidR="00DD060A" w:rsidRPr="00FC12A0">
        <w:t xml:space="preserve"> </w:t>
      </w:r>
      <w:r w:rsidR="002031C8" w:rsidRPr="00FC12A0">
        <w:t xml:space="preserve">the intersection of </w:t>
      </w:r>
      <w:r w:rsidR="00CF1201" w:rsidRPr="00FC12A0">
        <w:t xml:space="preserve">culture and ethics </w:t>
      </w:r>
      <w:r w:rsidR="002031C8" w:rsidRPr="00FC12A0">
        <w:t xml:space="preserve">that lead to </w:t>
      </w:r>
      <w:r w:rsidR="00496BCE" w:rsidRPr="00FC12A0">
        <w:t>political</w:t>
      </w:r>
      <w:r w:rsidR="00EE6BCE" w:rsidRPr="00FC12A0">
        <w:t xml:space="preserve"> constructs, cultural norms, </w:t>
      </w:r>
      <w:r w:rsidR="009C73F8" w:rsidRPr="00FC12A0">
        <w:t xml:space="preserve">injustices, </w:t>
      </w:r>
      <w:r w:rsidR="002C271A" w:rsidRPr="00FC12A0">
        <w:t>controversy, conflict and violence.</w:t>
      </w:r>
    </w:p>
    <w:p w14:paraId="233720C1" w14:textId="3DFACB81" w:rsidR="004C77D5" w:rsidRPr="00FC12A0" w:rsidRDefault="00EA6394" w:rsidP="00C97605">
      <w:pPr>
        <w:pStyle w:val="ListParagraph"/>
        <w:numPr>
          <w:ilvl w:val="0"/>
          <w:numId w:val="7"/>
        </w:numPr>
      </w:pPr>
      <w:r w:rsidRPr="00FC12A0">
        <w:t>Understand</w:t>
      </w:r>
      <w:r w:rsidR="002C271A" w:rsidRPr="00FC12A0">
        <w:t xml:space="preserve"> </w:t>
      </w:r>
      <w:r w:rsidR="000F7C5B" w:rsidRPr="00FC12A0">
        <w:t xml:space="preserve">past and present </w:t>
      </w:r>
      <w:r w:rsidR="009C1C97" w:rsidRPr="00FC12A0">
        <w:t xml:space="preserve">ETHICAL AND MORAL DILEMMAS </w:t>
      </w:r>
      <w:r w:rsidR="005E5B1D" w:rsidRPr="00FC12A0">
        <w:t>to formulate their own positions</w:t>
      </w:r>
      <w:r w:rsidR="00C6728F" w:rsidRPr="00FC12A0">
        <w:t>.</w:t>
      </w:r>
    </w:p>
    <w:p w14:paraId="0DC3AA9D" w14:textId="021913B7" w:rsidR="00E22D85" w:rsidRPr="00FC12A0" w:rsidRDefault="00E22D85" w:rsidP="00C97605">
      <w:pPr>
        <w:pStyle w:val="ListParagraph"/>
        <w:numPr>
          <w:ilvl w:val="0"/>
          <w:numId w:val="7"/>
        </w:numPr>
      </w:pPr>
      <w:r w:rsidRPr="00FC12A0">
        <w:t xml:space="preserve">Understand how to explore </w:t>
      </w:r>
      <w:r w:rsidR="009C1C97" w:rsidRPr="00FC12A0">
        <w:t xml:space="preserve">MULTIPLE PERSPECTIVES OF AN ISSUE </w:t>
      </w:r>
      <w:r w:rsidRPr="00FC12A0">
        <w:t xml:space="preserve">and </w:t>
      </w:r>
      <w:r w:rsidR="00D71BB8" w:rsidRPr="00FC12A0">
        <w:t>their complexities</w:t>
      </w:r>
    </w:p>
    <w:p w14:paraId="50517C5A" w14:textId="43019795" w:rsidR="00D71BB8" w:rsidRPr="00FC12A0" w:rsidRDefault="00D71BB8" w:rsidP="00D71BB8">
      <w:pPr>
        <w:pStyle w:val="ListParagraph"/>
        <w:numPr>
          <w:ilvl w:val="0"/>
          <w:numId w:val="7"/>
        </w:numPr>
      </w:pPr>
      <w:r w:rsidRPr="00FC12A0">
        <w:t xml:space="preserve">Understand how to </w:t>
      </w:r>
      <w:r w:rsidR="009C1C97" w:rsidRPr="00FC12A0">
        <w:t xml:space="preserve">TAKE A POSITION AND DEVELOP ARGUMENTS </w:t>
      </w:r>
      <w:r w:rsidRPr="00FC12A0">
        <w:t>for and against</w:t>
      </w:r>
    </w:p>
    <w:p w14:paraId="5759D2B2" w14:textId="18A8D586" w:rsidR="00D71BB8" w:rsidRPr="00FC12A0" w:rsidRDefault="00710957" w:rsidP="00C97605">
      <w:pPr>
        <w:pStyle w:val="ListParagraph"/>
        <w:numPr>
          <w:ilvl w:val="0"/>
          <w:numId w:val="7"/>
        </w:numPr>
      </w:pPr>
      <w:r w:rsidRPr="00FC12A0">
        <w:t xml:space="preserve">Encourage thinking and ideas on how </w:t>
      </w:r>
      <w:r w:rsidR="009C1C97" w:rsidRPr="00FC12A0">
        <w:t>students can USE CULTURAL AND ETHICAL FOUNDATIONS as they think, build and move into their own development practic</w:t>
      </w:r>
      <w:r w:rsidR="009C1C97">
        <w:t>e</w:t>
      </w:r>
      <w:r w:rsidR="009C1C97" w:rsidRPr="00FC12A0">
        <w:t xml:space="preserve"> </w:t>
      </w:r>
      <w:r w:rsidRPr="00FC12A0">
        <w:t>or discourse.</w:t>
      </w:r>
    </w:p>
    <w:p w14:paraId="574F1FDA" w14:textId="518A4CB2" w:rsidR="00C17254" w:rsidRDefault="00C17254">
      <w:pPr>
        <w:spacing w:after="160" w:line="259" w:lineRule="auto"/>
        <w:rPr>
          <w:b/>
          <w:bCs/>
        </w:rPr>
      </w:pPr>
    </w:p>
    <w:p w14:paraId="2BE32B96" w14:textId="73CC7644" w:rsidR="00CF5AF0" w:rsidRPr="00BB213D" w:rsidRDefault="00CF5AF0" w:rsidP="006568FF">
      <w:pPr>
        <w:rPr>
          <w:b/>
          <w:bCs/>
          <w:u w:val="single"/>
        </w:rPr>
      </w:pPr>
      <w:r w:rsidRPr="00BB213D">
        <w:rPr>
          <w:b/>
          <w:bCs/>
          <w:u w:val="single"/>
        </w:rPr>
        <w:lastRenderedPageBreak/>
        <w:t>COURSE ORGANIZATION</w:t>
      </w:r>
    </w:p>
    <w:p w14:paraId="3276C92A" w14:textId="307A29E3" w:rsidR="00460B16" w:rsidRPr="00CF6E8E" w:rsidRDefault="00460B16" w:rsidP="00460B16">
      <w:pPr>
        <w:pStyle w:val="NormalWeb"/>
        <w:jc w:val="both"/>
      </w:pPr>
      <w:r w:rsidRPr="00CF6E8E">
        <w:rPr>
          <w:rFonts w:ascii="TimesNewRomanPSMT" w:hAnsi="TimesNewRomanPSMT"/>
        </w:rPr>
        <w:t>This course runs through weekly lectures</w:t>
      </w:r>
      <w:r>
        <w:rPr>
          <w:rFonts w:ascii="TimesNewRomanPSMT" w:hAnsi="TimesNewRomanPSMT"/>
        </w:rPr>
        <w:t xml:space="preserve"> which will be po</w:t>
      </w:r>
      <w:r w:rsidR="00141E3E">
        <w:rPr>
          <w:rFonts w:ascii="TimesNewRomanPSMT" w:hAnsi="TimesNewRomanPSMT"/>
        </w:rPr>
        <w:t>sted on Waterloo Learn</w:t>
      </w:r>
      <w:r>
        <w:rPr>
          <w:rFonts w:ascii="TimesNewRomanPSMT" w:hAnsi="TimesNewRomanPSMT"/>
        </w:rPr>
        <w:t>.</w:t>
      </w:r>
      <w:r w:rsidRPr="00CF6E8E">
        <w:rPr>
          <w:rFonts w:ascii="TimesNewRomanPSMT" w:hAnsi="TimesNewRomanPSMT"/>
        </w:rPr>
        <w:t xml:space="preserve"> Lectures are a very important part of this course</w:t>
      </w:r>
      <w:r w:rsidR="00141E3E">
        <w:rPr>
          <w:rFonts w:ascii="TimesNewRomanPSMT" w:hAnsi="TimesNewRomanPSMT"/>
        </w:rPr>
        <w:t xml:space="preserve"> since a large part of the learning is done through a narrative presentation by the course instructor. Lectures will be used to </w:t>
      </w:r>
      <w:r w:rsidRPr="00CF6E8E">
        <w:rPr>
          <w:rFonts w:ascii="TimesNewRomanPSMT" w:hAnsi="TimesNewRomanPSMT"/>
        </w:rPr>
        <w:t>explain course expectations, assignments, grading</w:t>
      </w:r>
      <w:r w:rsidR="00141E3E">
        <w:rPr>
          <w:rFonts w:ascii="TimesNewRomanPSMT" w:hAnsi="TimesNewRomanPSMT"/>
        </w:rPr>
        <w:t>,</w:t>
      </w:r>
      <w:r w:rsidRPr="00CF6E8E">
        <w:rPr>
          <w:rFonts w:ascii="TimesNewRomanPSMT" w:hAnsi="TimesNewRomanPSMT"/>
        </w:rPr>
        <w:t xml:space="preserve"> and methods</w:t>
      </w:r>
      <w:r w:rsidR="00141E3E">
        <w:rPr>
          <w:rFonts w:ascii="TimesNewRomanPSMT" w:hAnsi="TimesNewRomanPSMT"/>
        </w:rPr>
        <w:t>,</w:t>
      </w:r>
      <w:r w:rsidRPr="00CF6E8E">
        <w:rPr>
          <w:rFonts w:ascii="TimesNewRomanPSMT" w:hAnsi="TimesNewRomanPSMT"/>
        </w:rPr>
        <w:t xml:space="preserve"> and to introduce the major concepts</w:t>
      </w:r>
      <w:r>
        <w:rPr>
          <w:rFonts w:ascii="TimesNewRomanPSMT" w:hAnsi="TimesNewRomanPSMT"/>
        </w:rPr>
        <w:t xml:space="preserve">, </w:t>
      </w:r>
      <w:r w:rsidRPr="00CF6E8E">
        <w:rPr>
          <w:rFonts w:ascii="TimesNewRomanPSMT" w:hAnsi="TimesNewRomanPSMT"/>
        </w:rPr>
        <w:t>theories</w:t>
      </w:r>
      <w:r>
        <w:rPr>
          <w:rFonts w:ascii="TimesNewRomanPSMT" w:hAnsi="TimesNewRomanPSMT"/>
        </w:rPr>
        <w:t xml:space="preserve"> and examples. </w:t>
      </w:r>
      <w:r w:rsidRPr="00CF6E8E">
        <w:rPr>
          <w:rFonts w:ascii="TimesNewRomanPSMT" w:hAnsi="TimesNewRomanPSMT"/>
        </w:rPr>
        <w:t xml:space="preserve">There will be important information given in lectures on assignments and course material that you cannot get anywhere else. </w:t>
      </w:r>
      <w:r w:rsidR="00141E3E">
        <w:rPr>
          <w:rFonts w:ascii="TimesNewRomanPSMT" w:hAnsi="TimesNewRomanPSMT"/>
        </w:rPr>
        <w:t>L</w:t>
      </w:r>
      <w:r w:rsidRPr="00CF6E8E">
        <w:rPr>
          <w:rFonts w:ascii="TimesNewRomanPSMT" w:hAnsi="TimesNewRomanPSMT"/>
        </w:rPr>
        <w:t xml:space="preserve">ecture slides will be posted on </w:t>
      </w:r>
      <w:r w:rsidR="00141E3E">
        <w:rPr>
          <w:rFonts w:ascii="TimesNewRomanPSMT" w:hAnsi="TimesNewRomanPSMT"/>
        </w:rPr>
        <w:t>Learn and</w:t>
      </w:r>
      <w:r w:rsidRPr="00CF6E8E">
        <w:rPr>
          <w:rFonts w:ascii="TimesNewRomanPSMT" w:hAnsi="TimesNewRomanPSMT"/>
        </w:rPr>
        <w:t xml:space="preserve"> provide </w:t>
      </w:r>
      <w:r w:rsidR="00141E3E">
        <w:rPr>
          <w:rFonts w:ascii="TimesNewRomanPSMT" w:hAnsi="TimesNewRomanPSMT"/>
        </w:rPr>
        <w:t xml:space="preserve">content </w:t>
      </w:r>
      <w:r w:rsidRPr="00CF6E8E">
        <w:rPr>
          <w:rFonts w:ascii="TimesNewRomanPSMT" w:hAnsi="TimesNewRomanPSMT"/>
        </w:rPr>
        <w:t>for preparing an</w:t>
      </w:r>
      <w:r w:rsidR="00141E3E">
        <w:rPr>
          <w:rFonts w:ascii="TimesNewRomanPSMT" w:hAnsi="TimesNewRomanPSMT"/>
        </w:rPr>
        <w:t>d</w:t>
      </w:r>
      <w:r w:rsidRPr="00CF6E8E">
        <w:rPr>
          <w:rFonts w:ascii="TimesNewRomanPSMT" w:hAnsi="TimesNewRomanPSMT"/>
        </w:rPr>
        <w:t xml:space="preserve"> understanding assignments. If you want to do well in this course, </w:t>
      </w:r>
      <w:r w:rsidR="00141E3E">
        <w:rPr>
          <w:rFonts w:ascii="TimesNewRomanPSMT" w:hAnsi="TimesNewRomanPSMT"/>
        </w:rPr>
        <w:t>watch the lecture.</w:t>
      </w:r>
      <w:r w:rsidRPr="00CF6E8E">
        <w:rPr>
          <w:rFonts w:ascii="TimesNewRomanPSMT" w:hAnsi="TimesNewRomanPSMT"/>
        </w:rPr>
        <w:t xml:space="preserve"> </w:t>
      </w:r>
    </w:p>
    <w:p w14:paraId="12101605" w14:textId="4A257818" w:rsidR="00460B16" w:rsidRPr="00842C6E" w:rsidRDefault="00460B16" w:rsidP="00460B16">
      <w:pPr>
        <w:pStyle w:val="NormalWeb"/>
        <w:jc w:val="both"/>
      </w:pPr>
      <w:r w:rsidRPr="00CF6E8E">
        <w:rPr>
          <w:rFonts w:ascii="TimesNewRomanPS" w:hAnsi="TimesNewRomanPS"/>
          <w:b/>
          <w:bCs/>
        </w:rPr>
        <w:t xml:space="preserve">Required Reading, Listening and Watching: </w:t>
      </w:r>
      <w:r w:rsidRPr="00CF6E8E">
        <w:rPr>
          <w:rFonts w:ascii="TimesNewRomanPSMT" w:hAnsi="TimesNewRomanPSMT"/>
        </w:rPr>
        <w:t xml:space="preserve">There is no textbook for this course. All the required readings and videos are available as a link on </w:t>
      </w:r>
      <w:r w:rsidR="00141E3E">
        <w:rPr>
          <w:rFonts w:ascii="TimesNewRomanPSMT" w:hAnsi="TimesNewRomanPSMT"/>
        </w:rPr>
        <w:t xml:space="preserve">the </w:t>
      </w:r>
      <w:r w:rsidRPr="00CF6E8E">
        <w:rPr>
          <w:rFonts w:ascii="TimesNewRomanPSMT" w:hAnsi="TimesNewRomanPSMT"/>
        </w:rPr>
        <w:t xml:space="preserve">course home page on </w:t>
      </w:r>
      <w:r w:rsidR="00141E3E">
        <w:rPr>
          <w:rFonts w:ascii="TimesNewRomanPSMT" w:hAnsi="TimesNewRomanPSMT"/>
        </w:rPr>
        <w:t>Learn</w:t>
      </w:r>
      <w:r w:rsidRPr="00CF6E8E">
        <w:rPr>
          <w:rFonts w:ascii="TimesNewRomanPSMT" w:hAnsi="TimesNewRomanPSMT"/>
        </w:rPr>
        <w:t xml:space="preserve">. A complete </w:t>
      </w:r>
      <w:r w:rsidRPr="00842C6E">
        <w:rPr>
          <w:rFonts w:ascii="TimesNewRomanPSMT" w:hAnsi="TimesNewRomanPSMT"/>
        </w:rPr>
        <w:t xml:space="preserve">list of required readings, listening or watching for each week is listed at the end of this syllabus. Engaging with these materials </w:t>
      </w:r>
      <w:r w:rsidR="00141E3E">
        <w:rPr>
          <w:rFonts w:ascii="TimesNewRomanPS" w:hAnsi="TimesNewRomanPS"/>
          <w:b/>
          <w:bCs/>
        </w:rPr>
        <w:t>as well as the lecture</w:t>
      </w:r>
      <w:r w:rsidRPr="00842C6E">
        <w:rPr>
          <w:rFonts w:ascii="TimesNewRomanPS" w:hAnsi="TimesNewRomanPS"/>
          <w:b/>
          <w:bCs/>
        </w:rPr>
        <w:t xml:space="preserve"> </w:t>
      </w:r>
      <w:r w:rsidRPr="00842C6E">
        <w:rPr>
          <w:rFonts w:ascii="TimesNewRomanPSMT" w:hAnsi="TimesNewRomanPSMT"/>
        </w:rPr>
        <w:t xml:space="preserve">each week is required. </w:t>
      </w:r>
    </w:p>
    <w:p w14:paraId="0E29756B" w14:textId="1A7D082A" w:rsidR="00460B16" w:rsidRDefault="00460B16" w:rsidP="00460B16">
      <w:pPr>
        <w:spacing w:before="100" w:beforeAutospacing="1" w:after="100" w:afterAutospacing="1"/>
        <w:jc w:val="both"/>
        <w:rPr>
          <w:b/>
          <w:bCs/>
        </w:rPr>
      </w:pPr>
      <w:r w:rsidRPr="00CF6E8E">
        <w:rPr>
          <w:b/>
          <w:bCs/>
        </w:rPr>
        <w:t xml:space="preserve">If you have an </w:t>
      </w:r>
      <w:r w:rsidRPr="00842C6E">
        <w:rPr>
          <w:b/>
          <w:bCs/>
        </w:rPr>
        <w:t>accessibility-related accommodation</w:t>
      </w:r>
      <w:r w:rsidRPr="00CF6E8E">
        <w:rPr>
          <w:b/>
          <w:bCs/>
        </w:rPr>
        <w:t>, please speak to me</w:t>
      </w:r>
      <w:r w:rsidRPr="00842C6E">
        <w:rPr>
          <w:b/>
          <w:bCs/>
        </w:rPr>
        <w:t xml:space="preserve">. </w:t>
      </w:r>
    </w:p>
    <w:p w14:paraId="678A34CE" w14:textId="77777777" w:rsidR="00460B16" w:rsidRPr="00BB213D" w:rsidRDefault="00460B16" w:rsidP="00460B16">
      <w:pPr>
        <w:spacing w:before="100" w:beforeAutospacing="1" w:after="100" w:afterAutospacing="1"/>
        <w:jc w:val="both"/>
        <w:rPr>
          <w:b/>
          <w:bCs/>
          <w:u w:val="single"/>
        </w:rPr>
      </w:pPr>
      <w:r w:rsidRPr="00BB213D">
        <w:rPr>
          <w:b/>
          <w:bCs/>
          <w:u w:val="single"/>
        </w:rPr>
        <w:t>COURSE DELIVERY</w:t>
      </w:r>
    </w:p>
    <w:p w14:paraId="3C189FBF" w14:textId="27C1929F" w:rsidR="00460B16" w:rsidRDefault="00141E3E" w:rsidP="00460B16">
      <w:pPr>
        <w:spacing w:before="100" w:beforeAutospacing="1" w:after="100" w:afterAutospacing="1"/>
        <w:jc w:val="both"/>
      </w:pPr>
      <w:r>
        <w:rPr>
          <w:b/>
          <w:bCs/>
        </w:rPr>
        <w:t>Waterloo Learn</w:t>
      </w:r>
      <w:r w:rsidR="00460B16">
        <w:rPr>
          <w:b/>
          <w:bCs/>
        </w:rPr>
        <w:t xml:space="preserve"> </w:t>
      </w:r>
      <w:r w:rsidR="00460B16" w:rsidRPr="006E0BBF">
        <w:t>will be your one-stop shop for all course content and lectures. I have placed all lectures into modules on a week-by-week basis. Simply click on the respective week to access course content for that week.</w:t>
      </w:r>
      <w:r w:rsidR="00460B16">
        <w:t xml:space="preserve"> </w:t>
      </w:r>
    </w:p>
    <w:p w14:paraId="17B54538" w14:textId="36A9B7D8" w:rsidR="00460B16" w:rsidRDefault="00460B16" w:rsidP="00BB213D">
      <w:pPr>
        <w:jc w:val="both"/>
      </w:pPr>
      <w:r>
        <w:t xml:space="preserve">In </w:t>
      </w:r>
      <w:r w:rsidR="00141E3E">
        <w:t>Learn</w:t>
      </w:r>
      <w:r>
        <w:t>, I will be using the following tabs frequently:</w:t>
      </w:r>
      <w:r w:rsidRPr="006E0BBF">
        <w:t xml:space="preserve"> </w:t>
      </w:r>
    </w:p>
    <w:p w14:paraId="0A27E7E1" w14:textId="73851649" w:rsidR="00146402" w:rsidRPr="00146402" w:rsidRDefault="00146402" w:rsidP="00BB213D">
      <w:pPr>
        <w:pStyle w:val="ListParagraph"/>
        <w:numPr>
          <w:ilvl w:val="0"/>
          <w:numId w:val="19"/>
        </w:numPr>
        <w:jc w:val="both"/>
      </w:pPr>
      <w:r>
        <w:rPr>
          <w:b/>
          <w:bCs/>
        </w:rPr>
        <w:t>Course Home</w:t>
      </w:r>
      <w:r>
        <w:t xml:space="preserve"> will house the course overview, announcements and</w:t>
      </w:r>
      <w:r w:rsidR="004D55DD">
        <w:t xml:space="preserve"> </w:t>
      </w:r>
      <w:r w:rsidR="006B1E2E">
        <w:t xml:space="preserve">any </w:t>
      </w:r>
      <w:r w:rsidR="004D55DD">
        <w:t>other</w:t>
      </w:r>
      <w:r w:rsidR="006B1E2E">
        <w:t xml:space="preserve"> </w:t>
      </w:r>
      <w:r>
        <w:t>important information and resources</w:t>
      </w:r>
      <w:r w:rsidR="006B1E2E">
        <w:t xml:space="preserve"> for the term.</w:t>
      </w:r>
    </w:p>
    <w:p w14:paraId="00C1D15D" w14:textId="77777777" w:rsidR="00146402" w:rsidRDefault="00146402" w:rsidP="00146402">
      <w:pPr>
        <w:pStyle w:val="ListParagraph"/>
        <w:numPr>
          <w:ilvl w:val="0"/>
          <w:numId w:val="19"/>
        </w:numPr>
        <w:spacing w:before="100" w:beforeAutospacing="1" w:after="100" w:afterAutospacing="1"/>
        <w:jc w:val="both"/>
      </w:pPr>
      <w:r>
        <w:rPr>
          <w:b/>
          <w:bCs/>
        </w:rPr>
        <w:t xml:space="preserve">Content </w:t>
      </w:r>
      <w:r w:rsidRPr="00146402">
        <w:t xml:space="preserve">is </w:t>
      </w:r>
      <w:r>
        <w:t xml:space="preserve">where the course syllabus, content, lectures, assignments will be contained.  </w:t>
      </w:r>
    </w:p>
    <w:p w14:paraId="3BC0E542" w14:textId="7227F2C9" w:rsidR="004D55DD" w:rsidRPr="004D55DD" w:rsidRDefault="004D55DD" w:rsidP="00146402">
      <w:pPr>
        <w:pStyle w:val="ListParagraph"/>
        <w:numPr>
          <w:ilvl w:val="0"/>
          <w:numId w:val="19"/>
        </w:numPr>
        <w:spacing w:before="100" w:beforeAutospacing="1" w:after="100" w:afterAutospacing="1"/>
        <w:jc w:val="both"/>
      </w:pPr>
      <w:r w:rsidRPr="00F250FC">
        <w:rPr>
          <w:b/>
          <w:bCs/>
        </w:rPr>
        <w:t>Grades</w:t>
      </w:r>
      <w:r>
        <w:t xml:space="preserve"> for grades received on assignments and research papers</w:t>
      </w:r>
    </w:p>
    <w:p w14:paraId="4B585111" w14:textId="34BFC3A2" w:rsidR="00460B16" w:rsidRDefault="004D55DD" w:rsidP="00146402">
      <w:pPr>
        <w:pStyle w:val="ListParagraph"/>
        <w:numPr>
          <w:ilvl w:val="0"/>
          <w:numId w:val="19"/>
        </w:numPr>
        <w:spacing w:before="100" w:beforeAutospacing="1" w:after="100" w:afterAutospacing="1"/>
        <w:jc w:val="both"/>
      </w:pPr>
      <w:r>
        <w:rPr>
          <w:b/>
          <w:bCs/>
        </w:rPr>
        <w:t xml:space="preserve">Connect - </w:t>
      </w:r>
      <w:r w:rsidR="00460B16" w:rsidRPr="00146402">
        <w:rPr>
          <w:b/>
          <w:bCs/>
        </w:rPr>
        <w:t>Discussions</w:t>
      </w:r>
      <w:r>
        <w:rPr>
          <w:b/>
          <w:bCs/>
        </w:rPr>
        <w:t xml:space="preserve"> </w:t>
      </w:r>
      <w:r>
        <w:t xml:space="preserve">is where you will be discussing the weekly questions posted by the course instructor with your peers. </w:t>
      </w:r>
    </w:p>
    <w:p w14:paraId="74C394BD" w14:textId="32BAD7B7" w:rsidR="00460B16" w:rsidRPr="004D55DD" w:rsidRDefault="004D55DD" w:rsidP="004D55DD">
      <w:pPr>
        <w:pStyle w:val="ListParagraph"/>
        <w:numPr>
          <w:ilvl w:val="0"/>
          <w:numId w:val="19"/>
        </w:numPr>
        <w:spacing w:before="100" w:beforeAutospacing="1" w:after="100" w:afterAutospacing="1"/>
        <w:jc w:val="both"/>
        <w:rPr>
          <w:b/>
          <w:bCs/>
        </w:rPr>
      </w:pPr>
      <w:r>
        <w:rPr>
          <w:b/>
          <w:bCs/>
        </w:rPr>
        <w:t xml:space="preserve">Submit </w:t>
      </w:r>
      <w:r>
        <w:t>using Dropbox for all your assignments and papers.</w:t>
      </w:r>
    </w:p>
    <w:p w14:paraId="443C636D" w14:textId="64BDF99C" w:rsidR="004D55DD" w:rsidRPr="004D55DD" w:rsidRDefault="004D55DD" w:rsidP="004D55DD">
      <w:pPr>
        <w:pStyle w:val="ListParagraph"/>
        <w:numPr>
          <w:ilvl w:val="0"/>
          <w:numId w:val="19"/>
        </w:numPr>
        <w:spacing w:before="100" w:beforeAutospacing="1" w:after="100" w:afterAutospacing="1"/>
        <w:jc w:val="both"/>
        <w:rPr>
          <w:b/>
          <w:bCs/>
        </w:rPr>
      </w:pPr>
      <w:r>
        <w:rPr>
          <w:b/>
          <w:bCs/>
        </w:rPr>
        <w:t xml:space="preserve">Resources – Rubric </w:t>
      </w:r>
      <w:r>
        <w:t>for assignment and papers evaluation framework</w:t>
      </w:r>
    </w:p>
    <w:p w14:paraId="677B7BDC" w14:textId="551A9147" w:rsidR="00460B16" w:rsidRPr="00BB213D" w:rsidRDefault="004D55DD" w:rsidP="006568FF">
      <w:pPr>
        <w:rPr>
          <w:b/>
          <w:bCs/>
          <w:u w:val="single"/>
        </w:rPr>
      </w:pPr>
      <w:r w:rsidRPr="00BB213D">
        <w:rPr>
          <w:b/>
          <w:bCs/>
          <w:u w:val="single"/>
        </w:rPr>
        <w:t>DISCUSSIONS</w:t>
      </w:r>
    </w:p>
    <w:p w14:paraId="774440CF" w14:textId="1077343F" w:rsidR="004D55DD" w:rsidRDefault="004D55DD" w:rsidP="006568FF">
      <w:pPr>
        <w:rPr>
          <w:b/>
          <w:bCs/>
        </w:rPr>
      </w:pPr>
    </w:p>
    <w:p w14:paraId="481C0FDB" w14:textId="4C32B7BB" w:rsidR="004D55DD" w:rsidRPr="006B1E2E" w:rsidRDefault="006B1E2E" w:rsidP="006568FF">
      <w:r>
        <w:t>With the exception weeks 1, 6 and 13, I will post discussion questions or statements focused on the lecture and readings</w:t>
      </w:r>
      <w:r w:rsidR="00BB213D">
        <w:t xml:space="preserve">. </w:t>
      </w:r>
      <w:r>
        <w:t xml:space="preserve">As this is an asynchronous course, this is your only opportunity to engage in dialogue with your peers about key weekly topics. I will participate in the discussion as required, but the idea is for you to discuss among yourselves. </w:t>
      </w:r>
      <w:r w:rsidR="00BB213D">
        <w:t>Part of your grade will be assessed on your engagement in the discussion. See the EVALUATION section.</w:t>
      </w:r>
    </w:p>
    <w:p w14:paraId="78329804" w14:textId="77777777" w:rsidR="00460B16" w:rsidRDefault="00460B16" w:rsidP="006568FF">
      <w:pPr>
        <w:rPr>
          <w:b/>
          <w:bCs/>
        </w:rPr>
      </w:pPr>
    </w:p>
    <w:p w14:paraId="083F9BC8" w14:textId="2AAFB220" w:rsidR="00CF5AF0" w:rsidRPr="00BB213D" w:rsidRDefault="00CF5AF0" w:rsidP="006568FF">
      <w:pPr>
        <w:rPr>
          <w:b/>
          <w:bCs/>
          <w:u w:val="single"/>
        </w:rPr>
      </w:pPr>
      <w:r w:rsidRPr="00BB213D">
        <w:rPr>
          <w:b/>
          <w:bCs/>
          <w:u w:val="single"/>
        </w:rPr>
        <w:t>TUTORIALS</w:t>
      </w:r>
    </w:p>
    <w:p w14:paraId="56834130" w14:textId="77777777" w:rsidR="00BB213D" w:rsidRDefault="00BB213D" w:rsidP="00CF5AF0">
      <w:pPr>
        <w:jc w:val="both"/>
        <w:rPr>
          <w:b/>
          <w:bCs/>
        </w:rPr>
      </w:pPr>
    </w:p>
    <w:p w14:paraId="4AD526E3" w14:textId="50BF5095" w:rsidR="00CF5AF0" w:rsidRPr="00460B16" w:rsidRDefault="00CF5AF0" w:rsidP="00CF5AF0">
      <w:pPr>
        <w:jc w:val="both"/>
      </w:pPr>
      <w:r>
        <w:t xml:space="preserve">This is an asynchronous course, therefore there are no tutorials. </w:t>
      </w:r>
      <w:r w:rsidR="00460B16">
        <w:t>Please refer to COMMUNICATION WITH COURSE INSTRUCTOR</w:t>
      </w:r>
      <w:r w:rsidR="00460B16">
        <w:rPr>
          <w:b/>
          <w:bCs/>
        </w:rPr>
        <w:t xml:space="preserve"> </w:t>
      </w:r>
      <w:r w:rsidR="00460B16">
        <w:t xml:space="preserve">section if you wish to meet or email the course instructor. </w:t>
      </w:r>
    </w:p>
    <w:p w14:paraId="53457BAF" w14:textId="5074E1BB" w:rsidR="00CF5AF0" w:rsidRPr="005E5EEB" w:rsidRDefault="00CF5AF0" w:rsidP="00CF5AF0">
      <w:pPr>
        <w:jc w:val="both"/>
        <w:rPr>
          <w:b/>
          <w:bCs/>
          <w:u w:val="single"/>
        </w:rPr>
      </w:pPr>
      <w:r w:rsidRPr="005E5EEB">
        <w:rPr>
          <w:b/>
          <w:bCs/>
          <w:u w:val="single"/>
        </w:rPr>
        <w:lastRenderedPageBreak/>
        <w:t>COMMUNICATION WITH COURSE INSTRUCTOR</w:t>
      </w:r>
    </w:p>
    <w:p w14:paraId="153940BA" w14:textId="77777777" w:rsidR="00460B16" w:rsidRDefault="00460B16" w:rsidP="00460B16">
      <w:pPr>
        <w:jc w:val="both"/>
      </w:pPr>
    </w:p>
    <w:p w14:paraId="069C296E" w14:textId="32C3AD98" w:rsidR="00460B16" w:rsidRDefault="00460B16" w:rsidP="00460B16">
      <w:pPr>
        <w:jc w:val="both"/>
      </w:pPr>
      <w:r>
        <w:t xml:space="preserve">I am available via email and have weekly office hours if you have questions or concerns. All communication to be should be done through Waterloo Learn. You can alternately reach me via my email address in outlook, but please use Learn first if possible. </w:t>
      </w:r>
    </w:p>
    <w:p w14:paraId="221D73C1" w14:textId="5EEE6936" w:rsidR="00460B16" w:rsidRDefault="00460B16" w:rsidP="00460B16">
      <w:pPr>
        <w:jc w:val="both"/>
      </w:pPr>
    </w:p>
    <w:p w14:paraId="7B471BFF" w14:textId="278316CF" w:rsidR="00460B16" w:rsidRDefault="00460B16" w:rsidP="00BB213D">
      <w:pPr>
        <w:pStyle w:val="ListParagraph"/>
        <w:numPr>
          <w:ilvl w:val="0"/>
          <w:numId w:val="20"/>
        </w:numPr>
        <w:jc w:val="both"/>
      </w:pPr>
      <w:r>
        <w:t>Office hours: Wednesdays at 1:30pm to 3:30pm</w:t>
      </w:r>
    </w:p>
    <w:p w14:paraId="6B0EC5A9" w14:textId="235CC47D" w:rsidR="00460B16" w:rsidRDefault="00460B16" w:rsidP="00BB213D">
      <w:pPr>
        <w:pStyle w:val="ListParagraph"/>
        <w:numPr>
          <w:ilvl w:val="0"/>
          <w:numId w:val="20"/>
        </w:numPr>
        <w:jc w:val="both"/>
      </w:pPr>
      <w:r>
        <w:t xml:space="preserve">Email: </w:t>
      </w:r>
      <w:hyperlink r:id="rId12" w:history="1">
        <w:r w:rsidRPr="005E34C6">
          <w:rPr>
            <w:rStyle w:val="Hyperlink"/>
          </w:rPr>
          <w:t>natasha.tangkai@uwaterloo.ca</w:t>
        </w:r>
      </w:hyperlink>
      <w:r>
        <w:t xml:space="preserve">. </w:t>
      </w:r>
    </w:p>
    <w:p w14:paraId="38EABDDC" w14:textId="20828195" w:rsidR="00460B16" w:rsidRDefault="00460B16" w:rsidP="00460B16">
      <w:pPr>
        <w:jc w:val="both"/>
      </w:pPr>
    </w:p>
    <w:p w14:paraId="49B1F0BE" w14:textId="4D59C685" w:rsidR="00460B16" w:rsidRPr="005E5EEB" w:rsidRDefault="005E5EEB" w:rsidP="00460B16">
      <w:pPr>
        <w:jc w:val="both"/>
        <w:rPr>
          <w:b/>
          <w:bCs/>
          <w:u w:val="single"/>
        </w:rPr>
      </w:pPr>
      <w:r w:rsidRPr="005E5EEB">
        <w:rPr>
          <w:b/>
          <w:bCs/>
          <w:u w:val="single"/>
        </w:rPr>
        <w:t>EVALUATION</w:t>
      </w:r>
    </w:p>
    <w:p w14:paraId="05131CE9" w14:textId="0778C9D3" w:rsidR="00CF5AF0" w:rsidRDefault="00CF5AF0" w:rsidP="006568FF">
      <w:pPr>
        <w:rPr>
          <w:b/>
          <w:bCs/>
        </w:rPr>
      </w:pPr>
    </w:p>
    <w:tbl>
      <w:tblPr>
        <w:tblStyle w:val="TableGrid"/>
        <w:tblW w:w="0" w:type="auto"/>
        <w:tblLook w:val="04A0" w:firstRow="1" w:lastRow="0" w:firstColumn="1" w:lastColumn="0" w:noHBand="0" w:noVBand="1"/>
      </w:tblPr>
      <w:tblGrid>
        <w:gridCol w:w="2337"/>
        <w:gridCol w:w="3187"/>
        <w:gridCol w:w="1701"/>
        <w:gridCol w:w="2125"/>
      </w:tblGrid>
      <w:tr w:rsidR="007A1C09" w14:paraId="4F2DB77E" w14:textId="77777777" w:rsidTr="00A044B2">
        <w:tc>
          <w:tcPr>
            <w:tcW w:w="2337" w:type="dxa"/>
          </w:tcPr>
          <w:p w14:paraId="417E8E11" w14:textId="239F3A12" w:rsidR="007A1C09" w:rsidRPr="007A1C09" w:rsidRDefault="007A1C09" w:rsidP="006568FF">
            <w:pPr>
              <w:rPr>
                <w:b/>
                <w:bCs/>
              </w:rPr>
            </w:pPr>
            <w:r>
              <w:rPr>
                <w:b/>
                <w:bCs/>
              </w:rPr>
              <w:t>Type of Assessment</w:t>
            </w:r>
          </w:p>
        </w:tc>
        <w:tc>
          <w:tcPr>
            <w:tcW w:w="3187" w:type="dxa"/>
          </w:tcPr>
          <w:p w14:paraId="2F1D01DC" w14:textId="5CC83737" w:rsidR="007A1C09" w:rsidRPr="007A1C09" w:rsidRDefault="00170A32" w:rsidP="006568FF">
            <w:pPr>
              <w:rPr>
                <w:b/>
                <w:bCs/>
              </w:rPr>
            </w:pPr>
            <w:r>
              <w:rPr>
                <w:b/>
                <w:bCs/>
              </w:rPr>
              <w:t>Assessment Breakdown</w:t>
            </w:r>
          </w:p>
        </w:tc>
        <w:tc>
          <w:tcPr>
            <w:tcW w:w="1701" w:type="dxa"/>
          </w:tcPr>
          <w:p w14:paraId="06DD2D0B" w14:textId="69E0F506" w:rsidR="007A1C09" w:rsidRPr="007A1C09" w:rsidRDefault="007A1C09" w:rsidP="007A1C09">
            <w:pPr>
              <w:jc w:val="center"/>
              <w:rPr>
                <w:b/>
                <w:bCs/>
              </w:rPr>
            </w:pPr>
            <w:r w:rsidRPr="007A1C09">
              <w:rPr>
                <w:b/>
                <w:bCs/>
              </w:rPr>
              <w:t xml:space="preserve">Grade </w:t>
            </w:r>
            <w:r>
              <w:rPr>
                <w:b/>
                <w:bCs/>
              </w:rPr>
              <w:t>V</w:t>
            </w:r>
            <w:r w:rsidRPr="007A1C09">
              <w:rPr>
                <w:b/>
                <w:bCs/>
              </w:rPr>
              <w:t>alue</w:t>
            </w:r>
          </w:p>
        </w:tc>
        <w:tc>
          <w:tcPr>
            <w:tcW w:w="2125" w:type="dxa"/>
          </w:tcPr>
          <w:p w14:paraId="6E15A37C" w14:textId="3A096DD0" w:rsidR="007A1C09" w:rsidRPr="007A1C09" w:rsidRDefault="007A1C09" w:rsidP="007A1C09">
            <w:pPr>
              <w:jc w:val="center"/>
              <w:rPr>
                <w:b/>
                <w:bCs/>
              </w:rPr>
            </w:pPr>
            <w:r>
              <w:rPr>
                <w:b/>
                <w:bCs/>
              </w:rPr>
              <w:t>Due Date</w:t>
            </w:r>
          </w:p>
        </w:tc>
      </w:tr>
      <w:tr w:rsidR="00170A32" w14:paraId="24208850" w14:textId="77777777" w:rsidTr="00A044B2">
        <w:tc>
          <w:tcPr>
            <w:tcW w:w="2337" w:type="dxa"/>
            <w:vMerge w:val="restart"/>
          </w:tcPr>
          <w:p w14:paraId="5C77BE7B" w14:textId="2CE0DEFA" w:rsidR="00170A32" w:rsidRDefault="00170A32" w:rsidP="006568FF">
            <w:pPr>
              <w:rPr>
                <w:b/>
                <w:bCs/>
              </w:rPr>
            </w:pPr>
            <w:r>
              <w:rPr>
                <w:b/>
                <w:bCs/>
              </w:rPr>
              <w:t>Assignment</w:t>
            </w:r>
          </w:p>
        </w:tc>
        <w:tc>
          <w:tcPr>
            <w:tcW w:w="3187" w:type="dxa"/>
          </w:tcPr>
          <w:p w14:paraId="78D36DB1" w14:textId="21A3D190" w:rsidR="00170A32" w:rsidRPr="007A1C09" w:rsidRDefault="00170A32" w:rsidP="006568FF">
            <w:r w:rsidRPr="007A1C09">
              <w:t>A1.</w:t>
            </w:r>
            <w:r>
              <w:t xml:space="preserve"> Position Paper </w:t>
            </w:r>
            <w:r w:rsidRPr="007A1C09">
              <w:t xml:space="preserve"> </w:t>
            </w:r>
          </w:p>
        </w:tc>
        <w:tc>
          <w:tcPr>
            <w:tcW w:w="1701" w:type="dxa"/>
          </w:tcPr>
          <w:p w14:paraId="6224068D" w14:textId="3B028AE3" w:rsidR="00170A32" w:rsidRPr="007A1C09" w:rsidRDefault="00170A32" w:rsidP="007A1C09">
            <w:pPr>
              <w:jc w:val="center"/>
            </w:pPr>
            <w:r>
              <w:t>15%</w:t>
            </w:r>
          </w:p>
        </w:tc>
        <w:tc>
          <w:tcPr>
            <w:tcW w:w="2125" w:type="dxa"/>
          </w:tcPr>
          <w:p w14:paraId="1B1C34C1" w14:textId="7BF51E7C" w:rsidR="00FE17F4" w:rsidRPr="007A1C09" w:rsidRDefault="00A044B2" w:rsidP="00FE17F4">
            <w:pPr>
              <w:jc w:val="center"/>
            </w:pPr>
            <w:r>
              <w:t>February 1</w:t>
            </w:r>
            <w:r w:rsidR="00FE17F4" w:rsidRPr="00FE17F4">
              <w:rPr>
                <w:vertAlign w:val="superscript"/>
              </w:rPr>
              <w:t>st</w:t>
            </w:r>
          </w:p>
        </w:tc>
      </w:tr>
      <w:tr w:rsidR="00170A32" w14:paraId="4E43898C" w14:textId="77777777" w:rsidTr="00A044B2">
        <w:tc>
          <w:tcPr>
            <w:tcW w:w="2337" w:type="dxa"/>
            <w:vMerge/>
          </w:tcPr>
          <w:p w14:paraId="69F7F9CD" w14:textId="77777777" w:rsidR="00170A32" w:rsidRDefault="00170A32" w:rsidP="006568FF">
            <w:pPr>
              <w:rPr>
                <w:b/>
                <w:bCs/>
              </w:rPr>
            </w:pPr>
          </w:p>
        </w:tc>
        <w:tc>
          <w:tcPr>
            <w:tcW w:w="3187" w:type="dxa"/>
          </w:tcPr>
          <w:p w14:paraId="69371C84" w14:textId="5F0818FA" w:rsidR="00170A32" w:rsidRPr="007A1C09" w:rsidRDefault="00170A32" w:rsidP="006568FF">
            <w:r>
              <w:t xml:space="preserve">A2. </w:t>
            </w:r>
            <w:r w:rsidR="00A044B2">
              <w:t>Critical Summary</w:t>
            </w:r>
          </w:p>
        </w:tc>
        <w:tc>
          <w:tcPr>
            <w:tcW w:w="1701" w:type="dxa"/>
          </w:tcPr>
          <w:p w14:paraId="024DD524" w14:textId="6008BB8A" w:rsidR="00170A32" w:rsidRPr="007A1C09" w:rsidRDefault="00A044B2" w:rsidP="007A1C09">
            <w:pPr>
              <w:jc w:val="center"/>
            </w:pPr>
            <w:r>
              <w:t>15%</w:t>
            </w:r>
          </w:p>
        </w:tc>
        <w:tc>
          <w:tcPr>
            <w:tcW w:w="2125" w:type="dxa"/>
          </w:tcPr>
          <w:p w14:paraId="7EF669BE" w14:textId="4A20AF66" w:rsidR="00FE17F4" w:rsidRPr="007A1C09" w:rsidRDefault="00FE17F4" w:rsidP="00FE17F4">
            <w:pPr>
              <w:jc w:val="center"/>
            </w:pPr>
            <w:r>
              <w:t>February 22</w:t>
            </w:r>
            <w:r w:rsidRPr="00FE17F4">
              <w:rPr>
                <w:vertAlign w:val="superscript"/>
              </w:rPr>
              <w:t>nd</w:t>
            </w:r>
          </w:p>
        </w:tc>
      </w:tr>
      <w:tr w:rsidR="00170A32" w14:paraId="700655F7" w14:textId="77777777" w:rsidTr="00A044B2">
        <w:tc>
          <w:tcPr>
            <w:tcW w:w="2337" w:type="dxa"/>
            <w:vMerge/>
          </w:tcPr>
          <w:p w14:paraId="24362CCF" w14:textId="77777777" w:rsidR="00170A32" w:rsidRDefault="00170A32" w:rsidP="006568FF">
            <w:pPr>
              <w:rPr>
                <w:b/>
                <w:bCs/>
              </w:rPr>
            </w:pPr>
          </w:p>
        </w:tc>
        <w:tc>
          <w:tcPr>
            <w:tcW w:w="3187" w:type="dxa"/>
          </w:tcPr>
          <w:p w14:paraId="4D61C48F" w14:textId="16C5B15E" w:rsidR="00170A32" w:rsidRPr="007A1C09" w:rsidRDefault="00170A32" w:rsidP="006568FF">
            <w:r>
              <w:t xml:space="preserve">A3. </w:t>
            </w:r>
            <w:r w:rsidR="00A044B2">
              <w:t>Compare &amp; Contrast</w:t>
            </w:r>
          </w:p>
        </w:tc>
        <w:tc>
          <w:tcPr>
            <w:tcW w:w="1701" w:type="dxa"/>
          </w:tcPr>
          <w:p w14:paraId="3ABE871A" w14:textId="46833C3D" w:rsidR="00170A32" w:rsidRPr="007A1C09" w:rsidRDefault="00A044B2" w:rsidP="007A1C09">
            <w:pPr>
              <w:jc w:val="center"/>
            </w:pPr>
            <w:r>
              <w:t>15%</w:t>
            </w:r>
          </w:p>
        </w:tc>
        <w:tc>
          <w:tcPr>
            <w:tcW w:w="2125" w:type="dxa"/>
          </w:tcPr>
          <w:p w14:paraId="3A51D287" w14:textId="6ED41D24" w:rsidR="00FE17F4" w:rsidRPr="007A1C09" w:rsidRDefault="00FE17F4" w:rsidP="00FE17F4">
            <w:pPr>
              <w:jc w:val="center"/>
            </w:pPr>
            <w:r>
              <w:t>March 22</w:t>
            </w:r>
            <w:r w:rsidRPr="00FE17F4">
              <w:rPr>
                <w:vertAlign w:val="superscript"/>
              </w:rPr>
              <w:t>nd</w:t>
            </w:r>
          </w:p>
        </w:tc>
      </w:tr>
      <w:tr w:rsidR="00A044B2" w14:paraId="48E802C6" w14:textId="77777777" w:rsidTr="00A044B2">
        <w:tc>
          <w:tcPr>
            <w:tcW w:w="2337" w:type="dxa"/>
            <w:vMerge w:val="restart"/>
          </w:tcPr>
          <w:p w14:paraId="0F1A2162" w14:textId="12FC1F95" w:rsidR="00A044B2" w:rsidRDefault="00A044B2" w:rsidP="006568FF">
            <w:pPr>
              <w:rPr>
                <w:b/>
                <w:bCs/>
              </w:rPr>
            </w:pPr>
            <w:r>
              <w:rPr>
                <w:b/>
                <w:bCs/>
              </w:rPr>
              <w:t>Paper</w:t>
            </w:r>
          </w:p>
        </w:tc>
        <w:tc>
          <w:tcPr>
            <w:tcW w:w="3187" w:type="dxa"/>
          </w:tcPr>
          <w:p w14:paraId="787F688B" w14:textId="1F5B1ADA" w:rsidR="00A044B2" w:rsidRPr="007A1C09" w:rsidRDefault="00A044B2" w:rsidP="006568FF">
            <w:r>
              <w:t>P1. Major Paper Proposal</w:t>
            </w:r>
          </w:p>
        </w:tc>
        <w:tc>
          <w:tcPr>
            <w:tcW w:w="1701" w:type="dxa"/>
          </w:tcPr>
          <w:p w14:paraId="4ADA8253" w14:textId="06814F0B" w:rsidR="00A044B2" w:rsidRPr="007A1C09" w:rsidRDefault="00A044B2" w:rsidP="007A1C09">
            <w:pPr>
              <w:jc w:val="center"/>
            </w:pPr>
            <w:r>
              <w:t>10%</w:t>
            </w:r>
          </w:p>
        </w:tc>
        <w:tc>
          <w:tcPr>
            <w:tcW w:w="2125" w:type="dxa"/>
          </w:tcPr>
          <w:p w14:paraId="3BC67E4C" w14:textId="5DA47FDB" w:rsidR="00FE17F4" w:rsidRPr="007A1C09" w:rsidRDefault="00FE17F4" w:rsidP="00FE17F4">
            <w:pPr>
              <w:jc w:val="center"/>
            </w:pPr>
            <w:r>
              <w:t>February 8</w:t>
            </w:r>
            <w:r w:rsidRPr="00FE17F4">
              <w:rPr>
                <w:vertAlign w:val="superscript"/>
              </w:rPr>
              <w:t>th</w:t>
            </w:r>
          </w:p>
        </w:tc>
      </w:tr>
      <w:tr w:rsidR="00A044B2" w14:paraId="3D761D71" w14:textId="77777777" w:rsidTr="00A044B2">
        <w:tc>
          <w:tcPr>
            <w:tcW w:w="2337" w:type="dxa"/>
            <w:vMerge/>
          </w:tcPr>
          <w:p w14:paraId="5549E90B" w14:textId="77777777" w:rsidR="00A044B2" w:rsidRDefault="00A044B2" w:rsidP="006568FF">
            <w:pPr>
              <w:rPr>
                <w:b/>
                <w:bCs/>
              </w:rPr>
            </w:pPr>
          </w:p>
        </w:tc>
        <w:tc>
          <w:tcPr>
            <w:tcW w:w="3187" w:type="dxa"/>
          </w:tcPr>
          <w:p w14:paraId="0F7E3A1E" w14:textId="1198FA44" w:rsidR="00A044B2" w:rsidRDefault="00A044B2" w:rsidP="006568FF">
            <w:r>
              <w:t>P2.</w:t>
            </w:r>
            <w:r w:rsidRPr="007A1C09">
              <w:t xml:space="preserve"> </w:t>
            </w:r>
            <w:r>
              <w:t>Major Research Paper</w:t>
            </w:r>
          </w:p>
        </w:tc>
        <w:tc>
          <w:tcPr>
            <w:tcW w:w="1701" w:type="dxa"/>
          </w:tcPr>
          <w:p w14:paraId="788852AF" w14:textId="2A103E21" w:rsidR="00A044B2" w:rsidRDefault="00A044B2" w:rsidP="007A1C09">
            <w:pPr>
              <w:jc w:val="center"/>
            </w:pPr>
            <w:r>
              <w:t>35%</w:t>
            </w:r>
          </w:p>
        </w:tc>
        <w:tc>
          <w:tcPr>
            <w:tcW w:w="2125" w:type="dxa"/>
          </w:tcPr>
          <w:p w14:paraId="20D8EFD9" w14:textId="05A3C532" w:rsidR="00A044B2" w:rsidRPr="007A1C09" w:rsidRDefault="00FE17F4" w:rsidP="007A1C09">
            <w:pPr>
              <w:jc w:val="center"/>
            </w:pPr>
            <w:r>
              <w:t>April, TBD</w:t>
            </w:r>
          </w:p>
        </w:tc>
      </w:tr>
      <w:tr w:rsidR="005E5EEB" w14:paraId="3E414050" w14:textId="77777777" w:rsidTr="00A044B2">
        <w:tc>
          <w:tcPr>
            <w:tcW w:w="2337" w:type="dxa"/>
          </w:tcPr>
          <w:p w14:paraId="07BF459E" w14:textId="3BF4A194" w:rsidR="005E5EEB" w:rsidRDefault="00170A32" w:rsidP="006568FF">
            <w:pPr>
              <w:rPr>
                <w:b/>
                <w:bCs/>
              </w:rPr>
            </w:pPr>
            <w:r>
              <w:rPr>
                <w:b/>
                <w:bCs/>
              </w:rPr>
              <w:t xml:space="preserve">Discussion </w:t>
            </w:r>
          </w:p>
        </w:tc>
        <w:tc>
          <w:tcPr>
            <w:tcW w:w="3187" w:type="dxa"/>
          </w:tcPr>
          <w:p w14:paraId="4FDE7026" w14:textId="0EB9025F" w:rsidR="005E5EEB" w:rsidRPr="00170A32" w:rsidRDefault="00170A32" w:rsidP="006568FF">
            <w:r w:rsidRPr="00170A32">
              <w:t>Discussion Board Engagement</w:t>
            </w:r>
          </w:p>
        </w:tc>
        <w:tc>
          <w:tcPr>
            <w:tcW w:w="1701" w:type="dxa"/>
          </w:tcPr>
          <w:p w14:paraId="23815306" w14:textId="0DB6AF46" w:rsidR="005E5EEB" w:rsidRPr="007A1C09" w:rsidRDefault="00170A32" w:rsidP="007A1C09">
            <w:pPr>
              <w:jc w:val="center"/>
            </w:pPr>
            <w:r>
              <w:t>10%</w:t>
            </w:r>
          </w:p>
        </w:tc>
        <w:tc>
          <w:tcPr>
            <w:tcW w:w="2125" w:type="dxa"/>
          </w:tcPr>
          <w:p w14:paraId="6A1F5AD8" w14:textId="77777777" w:rsidR="00FE17F4" w:rsidRDefault="00FE17F4" w:rsidP="007A1C09">
            <w:pPr>
              <w:jc w:val="center"/>
            </w:pPr>
            <w:r>
              <w:t xml:space="preserve">Weeks 2-12 </w:t>
            </w:r>
          </w:p>
          <w:p w14:paraId="335AD244" w14:textId="4FECF253" w:rsidR="005E5EEB" w:rsidRPr="007A1C09" w:rsidRDefault="00FE17F4" w:rsidP="007A1C09">
            <w:pPr>
              <w:jc w:val="center"/>
            </w:pPr>
            <w:r>
              <w:t>(no discussion on weeks 1, 6 and 13)</w:t>
            </w:r>
          </w:p>
        </w:tc>
      </w:tr>
    </w:tbl>
    <w:p w14:paraId="3FE36909" w14:textId="4C0FDF21" w:rsidR="00460B16" w:rsidRDefault="00460B16" w:rsidP="006568FF">
      <w:pPr>
        <w:rPr>
          <w:b/>
          <w:bCs/>
        </w:rPr>
      </w:pPr>
    </w:p>
    <w:p w14:paraId="63DEC3B5" w14:textId="77777777" w:rsidR="00FE17F4" w:rsidRPr="00842C6E" w:rsidRDefault="00FE17F4" w:rsidP="00FE17F4">
      <w:r>
        <w:rPr>
          <w:b/>
          <w:bCs/>
        </w:rPr>
        <w:t>A</w:t>
      </w:r>
      <w:r w:rsidRPr="00842C6E">
        <w:rPr>
          <w:b/>
          <w:bCs/>
        </w:rPr>
        <w:t xml:space="preserve">SSIGNMENTS AND DUE DATES </w:t>
      </w:r>
    </w:p>
    <w:p w14:paraId="7406D4C9" w14:textId="77777777" w:rsidR="00FE17F4" w:rsidRDefault="00FE17F4" w:rsidP="00FE17F4">
      <w:pPr>
        <w:jc w:val="both"/>
      </w:pPr>
    </w:p>
    <w:p w14:paraId="451E21A6" w14:textId="7F76AE2E" w:rsidR="00FE17F4" w:rsidRPr="00842C6E" w:rsidRDefault="00FE17F4" w:rsidP="00FE17F4">
      <w:pPr>
        <w:jc w:val="both"/>
      </w:pPr>
      <w:r w:rsidRPr="00842C6E">
        <w:t xml:space="preserve">There are </w:t>
      </w:r>
      <w:r>
        <w:t xml:space="preserve">five </w:t>
      </w:r>
      <w:r w:rsidRPr="00842C6E">
        <w:t xml:space="preserve">written assignments in this course. Detailed information about each of the assignments is provided in the “ASSIGNMENTS” section of the course </w:t>
      </w:r>
      <w:r>
        <w:t>in Learn</w:t>
      </w:r>
      <w:r w:rsidRPr="00842C6E">
        <w:rPr>
          <w:b/>
          <w:bCs/>
        </w:rPr>
        <w:t xml:space="preserve">. All assignments should be submitted on </w:t>
      </w:r>
      <w:r>
        <w:rPr>
          <w:b/>
          <w:bCs/>
        </w:rPr>
        <w:t>Learn</w:t>
      </w:r>
      <w:r w:rsidRPr="00842C6E">
        <w:rPr>
          <w:b/>
          <w:bCs/>
        </w:rPr>
        <w:t xml:space="preserve"> by midnight on the due date. </w:t>
      </w:r>
      <w:r w:rsidRPr="00842C6E">
        <w:t>All files should be in Word format (.doc or .docx) named with the name of the file in this format: LASTNAME_FIRSTNAME_A2 (e.g.</w:t>
      </w:r>
      <w:r w:rsidRPr="00CF6E8E">
        <w:t>,</w:t>
      </w:r>
      <w:r w:rsidRPr="00842C6E">
        <w:t xml:space="preserve"> for Assignment 2, Knowles_Beyonce_A2.docx). </w:t>
      </w:r>
      <w:r w:rsidRPr="00842C6E">
        <w:rPr>
          <w:b/>
          <w:bCs/>
          <w:color w:val="FF0000"/>
        </w:rPr>
        <w:t xml:space="preserve">Late assignments will be penalized </w:t>
      </w:r>
      <w:r>
        <w:rPr>
          <w:b/>
          <w:bCs/>
          <w:color w:val="FF0000"/>
        </w:rPr>
        <w:t>2</w:t>
      </w:r>
      <w:r w:rsidRPr="00842C6E">
        <w:rPr>
          <w:b/>
          <w:bCs/>
          <w:color w:val="FF0000"/>
        </w:rPr>
        <w:t xml:space="preserve">% per day late (weekends are 5% total). </w:t>
      </w:r>
    </w:p>
    <w:p w14:paraId="068DB33E" w14:textId="77777777" w:rsidR="00FE17F4" w:rsidRPr="00777000" w:rsidRDefault="00FE17F4" w:rsidP="00FE17F4">
      <w:pPr>
        <w:spacing w:before="100" w:beforeAutospacing="1" w:after="100" w:afterAutospacing="1"/>
        <w:rPr>
          <w:highlight w:val="yellow"/>
        </w:rPr>
      </w:pPr>
      <w:r w:rsidRPr="00777000">
        <w:rPr>
          <w:b/>
          <w:bCs/>
          <w:highlight w:val="yellow"/>
        </w:rPr>
        <w:t xml:space="preserve">A NOTE ON PLAGIARISM </w:t>
      </w:r>
    </w:p>
    <w:p w14:paraId="0521F4E5" w14:textId="5C149430" w:rsidR="00FE17F4" w:rsidRPr="00777000" w:rsidRDefault="00FE17F4" w:rsidP="00FE17F4">
      <w:pPr>
        <w:jc w:val="both"/>
        <w:rPr>
          <w:highlight w:val="yellow"/>
        </w:rPr>
      </w:pPr>
      <w:r w:rsidRPr="00777000">
        <w:rPr>
          <w:highlight w:val="yellow"/>
        </w:rPr>
        <w:t xml:space="preserve">Plagiarism is a serious university offence. Academic integrity is essential to the pursuit of learning and scholarship in a university, and to ensuring that a degree from the University of </w:t>
      </w:r>
      <w:r w:rsidR="00777000" w:rsidRPr="00777000">
        <w:rPr>
          <w:highlight w:val="yellow"/>
        </w:rPr>
        <w:t>Waterloo</w:t>
      </w:r>
      <w:r w:rsidRPr="00777000">
        <w:rPr>
          <w:highlight w:val="yellow"/>
        </w:rPr>
        <w:t xml:space="preserve"> is a strong signal of each student’s individual academic achievement. As a result, the University treats cases of cheating and plagiarism very seriously. The University of Toronto’s Code of Behaviour on Academic Matters </w:t>
      </w:r>
      <w:r w:rsidRPr="00777000">
        <w:rPr>
          <w:color w:val="000000" w:themeColor="text1"/>
          <w:highlight w:val="yellow"/>
        </w:rPr>
        <w:t>(</w:t>
      </w:r>
      <w:hyperlink r:id="rId13" w:history="1">
        <w:r w:rsidRPr="00777000">
          <w:rPr>
            <w:rStyle w:val="Hyperlink"/>
            <w:highlight w:val="yellow"/>
          </w:rPr>
          <w:t>http://www.governingcouncil.utoronto.ca/policies/behaveac.htm</w:t>
        </w:r>
      </w:hyperlink>
      <w:r w:rsidRPr="00777000">
        <w:rPr>
          <w:color w:val="000000" w:themeColor="text1"/>
          <w:highlight w:val="yellow"/>
        </w:rPr>
        <w:t>)</w:t>
      </w:r>
      <w:r w:rsidRPr="00777000">
        <w:rPr>
          <w:highlight w:val="yellow"/>
        </w:rPr>
        <w:t xml:space="preserve"> outlines the behaviours that constitute academic dishonesty and the processes for addressing academic offences. </w:t>
      </w:r>
      <w:r w:rsidRPr="00777000">
        <w:rPr>
          <w:b/>
          <w:bCs/>
          <w:highlight w:val="yellow"/>
        </w:rPr>
        <w:t xml:space="preserve">It’s your responsibility to know what plagiarism is and avoid doing it. </w:t>
      </w:r>
      <w:r w:rsidRPr="00777000">
        <w:rPr>
          <w:highlight w:val="yellow"/>
        </w:rPr>
        <w:t xml:space="preserve">In papers and assignments this can include: </w:t>
      </w:r>
    </w:p>
    <w:p w14:paraId="02BC9E7B" w14:textId="77777777" w:rsidR="00FE17F4" w:rsidRPr="00777000" w:rsidRDefault="00FE17F4" w:rsidP="00FE17F4">
      <w:pPr>
        <w:jc w:val="both"/>
        <w:rPr>
          <w:color w:val="000000" w:themeColor="text1"/>
          <w:highlight w:val="yellow"/>
        </w:rPr>
      </w:pPr>
    </w:p>
    <w:p w14:paraId="19188B62" w14:textId="77777777" w:rsidR="00FE17F4" w:rsidRPr="00777000" w:rsidRDefault="00FE17F4" w:rsidP="00FE17F4">
      <w:pPr>
        <w:numPr>
          <w:ilvl w:val="0"/>
          <w:numId w:val="21"/>
        </w:numPr>
        <w:rPr>
          <w:highlight w:val="yellow"/>
        </w:rPr>
      </w:pPr>
      <w:r w:rsidRPr="00777000">
        <w:rPr>
          <w:highlight w:val="yellow"/>
        </w:rPr>
        <w:t xml:space="preserve">Using someone else’s ideas or words without appropriate acknowledgement. </w:t>
      </w:r>
    </w:p>
    <w:p w14:paraId="5DA7F902" w14:textId="77777777" w:rsidR="00FE17F4" w:rsidRPr="00777000" w:rsidRDefault="00FE17F4" w:rsidP="00FE17F4">
      <w:pPr>
        <w:numPr>
          <w:ilvl w:val="0"/>
          <w:numId w:val="21"/>
        </w:numPr>
        <w:spacing w:before="100" w:beforeAutospacing="1" w:after="100" w:afterAutospacing="1"/>
        <w:rPr>
          <w:highlight w:val="yellow"/>
        </w:rPr>
      </w:pPr>
      <w:r w:rsidRPr="00777000">
        <w:rPr>
          <w:highlight w:val="yellow"/>
        </w:rPr>
        <w:t xml:space="preserve">Submitting your own work in more than one course without the permission of the instructor. </w:t>
      </w:r>
    </w:p>
    <w:p w14:paraId="10089A5F" w14:textId="77777777" w:rsidR="00FE17F4" w:rsidRPr="00777000" w:rsidRDefault="00FE17F4" w:rsidP="00FE17F4">
      <w:pPr>
        <w:numPr>
          <w:ilvl w:val="0"/>
          <w:numId w:val="21"/>
        </w:numPr>
        <w:spacing w:before="100" w:beforeAutospacing="1" w:after="100" w:afterAutospacing="1"/>
        <w:rPr>
          <w:highlight w:val="yellow"/>
        </w:rPr>
      </w:pPr>
      <w:r w:rsidRPr="00777000">
        <w:rPr>
          <w:highlight w:val="yellow"/>
        </w:rPr>
        <w:t xml:space="preserve">Making up sources or facts. </w:t>
      </w:r>
    </w:p>
    <w:p w14:paraId="3516DD6B" w14:textId="77777777" w:rsidR="00FE17F4" w:rsidRPr="00777000" w:rsidRDefault="00FE17F4" w:rsidP="00FE17F4">
      <w:pPr>
        <w:numPr>
          <w:ilvl w:val="0"/>
          <w:numId w:val="21"/>
        </w:numPr>
        <w:spacing w:before="100" w:beforeAutospacing="1" w:after="100" w:afterAutospacing="1"/>
        <w:rPr>
          <w:highlight w:val="yellow"/>
        </w:rPr>
      </w:pPr>
      <w:r w:rsidRPr="00777000">
        <w:rPr>
          <w:highlight w:val="yellow"/>
        </w:rPr>
        <w:t>Obtaining or providing unauthorized assistance on any assignment.</w:t>
      </w:r>
    </w:p>
    <w:p w14:paraId="49392078" w14:textId="77777777" w:rsidR="00FE17F4" w:rsidRPr="00777000" w:rsidRDefault="00FE17F4" w:rsidP="00FE17F4">
      <w:pPr>
        <w:rPr>
          <w:highlight w:val="yellow"/>
        </w:rPr>
      </w:pPr>
      <w:r w:rsidRPr="00777000">
        <w:rPr>
          <w:highlight w:val="yellow"/>
        </w:rPr>
        <w:lastRenderedPageBreak/>
        <w:t xml:space="preserve">On tests and exams: </w:t>
      </w:r>
    </w:p>
    <w:p w14:paraId="2F9F8A30" w14:textId="77777777" w:rsidR="00FE17F4" w:rsidRPr="00777000" w:rsidRDefault="00FE17F4" w:rsidP="00FE17F4">
      <w:pPr>
        <w:numPr>
          <w:ilvl w:val="0"/>
          <w:numId w:val="22"/>
        </w:numPr>
        <w:rPr>
          <w:highlight w:val="yellow"/>
        </w:rPr>
      </w:pPr>
      <w:r w:rsidRPr="00777000">
        <w:rPr>
          <w:highlight w:val="yellow"/>
        </w:rPr>
        <w:t xml:space="preserve">Using or possessing unauthorized aids. </w:t>
      </w:r>
    </w:p>
    <w:p w14:paraId="1685312D" w14:textId="77777777" w:rsidR="00FE17F4" w:rsidRPr="00777000" w:rsidRDefault="00FE17F4" w:rsidP="00FE17F4">
      <w:pPr>
        <w:numPr>
          <w:ilvl w:val="0"/>
          <w:numId w:val="22"/>
        </w:numPr>
        <w:rPr>
          <w:highlight w:val="yellow"/>
        </w:rPr>
      </w:pPr>
      <w:r w:rsidRPr="00777000">
        <w:rPr>
          <w:highlight w:val="yellow"/>
        </w:rPr>
        <w:t xml:space="preserve">Looking at someone else’s answers during an exam or test. </w:t>
      </w:r>
    </w:p>
    <w:p w14:paraId="0EBC47BE" w14:textId="77777777" w:rsidR="00FE17F4" w:rsidRPr="00777000" w:rsidRDefault="00FE17F4" w:rsidP="00FE17F4">
      <w:pPr>
        <w:numPr>
          <w:ilvl w:val="0"/>
          <w:numId w:val="22"/>
        </w:numPr>
        <w:rPr>
          <w:highlight w:val="yellow"/>
        </w:rPr>
      </w:pPr>
      <w:r w:rsidRPr="00777000">
        <w:rPr>
          <w:highlight w:val="yellow"/>
        </w:rPr>
        <w:t xml:space="preserve">Misrepresenting your identity. </w:t>
      </w:r>
    </w:p>
    <w:p w14:paraId="681906EF" w14:textId="77777777" w:rsidR="00FE17F4" w:rsidRPr="00777000" w:rsidRDefault="00FE17F4" w:rsidP="00FE17F4">
      <w:pPr>
        <w:rPr>
          <w:highlight w:val="yellow"/>
        </w:rPr>
      </w:pPr>
    </w:p>
    <w:p w14:paraId="232BE088" w14:textId="77777777" w:rsidR="00FE17F4" w:rsidRPr="00777000" w:rsidRDefault="00FE17F4" w:rsidP="00FE17F4">
      <w:pPr>
        <w:rPr>
          <w:highlight w:val="yellow"/>
        </w:rPr>
      </w:pPr>
      <w:r w:rsidRPr="00777000">
        <w:rPr>
          <w:highlight w:val="yellow"/>
        </w:rPr>
        <w:t xml:space="preserve">In academic work: </w:t>
      </w:r>
    </w:p>
    <w:p w14:paraId="655195D9" w14:textId="77777777" w:rsidR="00FE17F4" w:rsidRPr="00777000" w:rsidRDefault="00FE17F4" w:rsidP="00FE17F4">
      <w:pPr>
        <w:numPr>
          <w:ilvl w:val="0"/>
          <w:numId w:val="23"/>
        </w:numPr>
        <w:rPr>
          <w:highlight w:val="yellow"/>
        </w:rPr>
      </w:pPr>
      <w:r w:rsidRPr="00777000">
        <w:rPr>
          <w:highlight w:val="yellow"/>
        </w:rPr>
        <w:t xml:space="preserve">Falsifying institutional documents or grades. </w:t>
      </w:r>
    </w:p>
    <w:p w14:paraId="05EE9AE0" w14:textId="77777777" w:rsidR="00FE17F4" w:rsidRPr="00777000" w:rsidRDefault="00FE17F4" w:rsidP="00FE17F4">
      <w:pPr>
        <w:numPr>
          <w:ilvl w:val="0"/>
          <w:numId w:val="23"/>
        </w:numPr>
        <w:rPr>
          <w:highlight w:val="yellow"/>
        </w:rPr>
      </w:pPr>
      <w:r w:rsidRPr="00777000">
        <w:rPr>
          <w:highlight w:val="yellow"/>
        </w:rPr>
        <w:t xml:space="preserve">Falsifying or altering any documentation required by the University, including (but not limited to) doctor’s notes. </w:t>
      </w:r>
    </w:p>
    <w:p w14:paraId="2DB82C36" w14:textId="77777777" w:rsidR="00FE17F4" w:rsidRPr="00777000" w:rsidRDefault="00FE17F4" w:rsidP="00FE17F4">
      <w:pPr>
        <w:spacing w:before="100" w:beforeAutospacing="1" w:after="100" w:afterAutospacing="1"/>
        <w:jc w:val="both"/>
        <w:rPr>
          <w:highlight w:val="yellow"/>
        </w:rPr>
      </w:pPr>
      <w:r w:rsidRPr="00777000">
        <w:rPr>
          <w:highlight w:val="yellow"/>
        </w:rPr>
        <w:t xml:space="preserve">You may see advertisements for services offering grammar help, essay editing and proof-reading. Be very careful. If these services take a draft of your work and significantly change the content and/or language, you may be committing an academic offence (unauthorized assistance) under the Code of Behaviour on Academic Matters. It is much better and safer to take your draft to the Writing Centre as early as you can. They will give you guidance you can trust. Students for whom English is not their first language should go to the English Language Development Centre. </w:t>
      </w:r>
      <w:r w:rsidRPr="00777000">
        <w:rPr>
          <w:b/>
          <w:bCs/>
          <w:highlight w:val="yellow"/>
        </w:rPr>
        <w:t xml:space="preserve">If you decide to use these services in spite of this caution, you must keep a draft of your work and any notes you made before you got help and be prepared to give it to your instructor on request. </w:t>
      </w:r>
      <w:r w:rsidRPr="00777000">
        <w:rPr>
          <w:highlight w:val="yellow"/>
        </w:rPr>
        <w:t xml:space="preserve">All suspected cases of academic dishonesty will be investigated following procedures outlined in the Code of Behaviour on Academic Matters. If you have questions or concerns about what constitutes appropriate academic behaviour or appropriate research and citation methods, you are expected to seek out additional information on academic integrity from your instructor or from other institutional resources (see </w:t>
      </w:r>
      <w:r w:rsidRPr="00777000">
        <w:rPr>
          <w:color w:val="0000FF"/>
          <w:highlight w:val="yellow"/>
        </w:rPr>
        <w:t>http://academicintegrity.utoronto.ca/</w:t>
      </w:r>
      <w:r w:rsidRPr="00777000">
        <w:rPr>
          <w:highlight w:val="yellow"/>
        </w:rPr>
        <w:t xml:space="preserve">). </w:t>
      </w:r>
    </w:p>
    <w:p w14:paraId="0D84ED3C" w14:textId="77777777" w:rsidR="00FE17F4" w:rsidRPr="00777000" w:rsidRDefault="00FE17F4" w:rsidP="00FE17F4">
      <w:pPr>
        <w:spacing w:before="100" w:beforeAutospacing="1" w:after="100" w:afterAutospacing="1"/>
        <w:rPr>
          <w:highlight w:val="yellow"/>
        </w:rPr>
      </w:pPr>
      <w:r w:rsidRPr="00777000">
        <w:rPr>
          <w:b/>
          <w:bCs/>
          <w:highlight w:val="yellow"/>
        </w:rPr>
        <w:t xml:space="preserve">A NOTE ON WRITING </w:t>
      </w:r>
    </w:p>
    <w:p w14:paraId="3F8DD390" w14:textId="77777777" w:rsidR="00FE17F4" w:rsidRPr="003B4545" w:rsidRDefault="00FE17F4" w:rsidP="00FE17F4">
      <w:pPr>
        <w:spacing w:before="100" w:beforeAutospacing="1" w:after="100" w:afterAutospacing="1"/>
        <w:jc w:val="both"/>
      </w:pPr>
      <w:r w:rsidRPr="00777000">
        <w:rPr>
          <w:highlight w:val="yellow"/>
        </w:rPr>
        <w:t xml:space="preserve">The ability to write a well-organized paper, report or essay in clear and correct English is an essential skill for a university student. A major goal of this course is to provide guidance and opportunities to gain confidence and proficiency in university level writing. Completing the assignments for this course will give you the opportunity to receive advice on weaknesses in your writing skills and on how to improve them. A proportion of the mark for the final essay will be allocated to the quality of the writing. </w:t>
      </w:r>
      <w:r w:rsidRPr="00777000">
        <w:rPr>
          <w:b/>
          <w:bCs/>
          <w:highlight w:val="yellow"/>
        </w:rPr>
        <w:t xml:space="preserve">The University of Toronto at Scarborough has an excellent Writing Centre, located in Teaching and Learning Services in the ARC. Make use of it! </w:t>
      </w:r>
      <w:r w:rsidRPr="00777000">
        <w:rPr>
          <w:highlight w:val="yellow"/>
        </w:rPr>
        <w:t xml:space="preserve">Finally, students who wish to improve their writing and who successfully complete the Reading and Writing Excellence (RWE) program </w:t>
      </w:r>
      <w:r w:rsidRPr="00777000">
        <w:rPr>
          <w:b/>
          <w:bCs/>
          <w:highlight w:val="yellow"/>
        </w:rPr>
        <w:t xml:space="preserve">can get a 3% bonus on their mark </w:t>
      </w:r>
      <w:r w:rsidRPr="00777000">
        <w:rPr>
          <w:highlight w:val="yellow"/>
        </w:rPr>
        <w:t>(see the end of the Syllabus for details!).</w:t>
      </w:r>
      <w:r w:rsidRPr="003B4545">
        <w:t xml:space="preserve"> </w:t>
      </w:r>
    </w:p>
    <w:p w14:paraId="26119A20" w14:textId="1C85CDC8" w:rsidR="00777000" w:rsidRPr="00777000" w:rsidRDefault="00777000" w:rsidP="00777000">
      <w:pPr>
        <w:pStyle w:val="NormalWeb"/>
        <w:shd w:val="clear" w:color="auto" w:fill="FFFFFF"/>
        <w:jc w:val="both"/>
        <w:rPr>
          <w:color w:val="000000"/>
          <w:u w:val="single"/>
        </w:rPr>
      </w:pPr>
      <w:r w:rsidRPr="00777000">
        <w:rPr>
          <w:rStyle w:val="Strong"/>
          <w:color w:val="000000"/>
          <w:u w:val="single"/>
        </w:rPr>
        <w:t>ACADEMIC INTEGRITY</w:t>
      </w:r>
    </w:p>
    <w:p w14:paraId="5391F33D" w14:textId="77777777" w:rsidR="00777000" w:rsidRDefault="00FE17F4" w:rsidP="00777000">
      <w:pPr>
        <w:pStyle w:val="NormalWeb"/>
        <w:shd w:val="clear" w:color="auto" w:fill="FFFFFF"/>
        <w:jc w:val="both"/>
        <w:rPr>
          <w:color w:val="000000"/>
        </w:rPr>
      </w:pPr>
      <w:r w:rsidRPr="00777000">
        <w:rPr>
          <w:color w:val="000000"/>
        </w:rPr>
        <w:t>In order to maintain a culture of academic integrity, members of the University of Waterloo community are expected to promote honesty, trust, fairness, respect and responsibility. [Check </w:t>
      </w:r>
      <w:hyperlink r:id="rId14" w:history="1">
        <w:r w:rsidRPr="00777000">
          <w:rPr>
            <w:rStyle w:val="Hyperlink"/>
            <w:color w:val="000000"/>
          </w:rPr>
          <w:t>the Office of Academic Integrity</w:t>
        </w:r>
      </w:hyperlink>
      <w:r w:rsidRPr="00777000">
        <w:rPr>
          <w:color w:val="000000"/>
        </w:rPr>
        <w:t> for more information.]</w:t>
      </w:r>
    </w:p>
    <w:p w14:paraId="630FE7E6" w14:textId="77777777" w:rsidR="00777000" w:rsidRDefault="00777000" w:rsidP="00777000">
      <w:pPr>
        <w:pStyle w:val="NormalWeb"/>
        <w:shd w:val="clear" w:color="auto" w:fill="FFFFFF"/>
        <w:jc w:val="both"/>
        <w:rPr>
          <w:color w:val="000000"/>
        </w:rPr>
      </w:pPr>
    </w:p>
    <w:p w14:paraId="63AC6E92" w14:textId="77777777" w:rsidR="00777000" w:rsidRDefault="00777000" w:rsidP="00777000">
      <w:pPr>
        <w:pStyle w:val="NormalWeb"/>
        <w:shd w:val="clear" w:color="auto" w:fill="FFFFFF"/>
        <w:jc w:val="both"/>
        <w:rPr>
          <w:color w:val="000000"/>
        </w:rPr>
      </w:pPr>
    </w:p>
    <w:p w14:paraId="0ED34509" w14:textId="7440593D" w:rsidR="00777000" w:rsidRPr="00777000" w:rsidRDefault="00777000" w:rsidP="00777000">
      <w:pPr>
        <w:pStyle w:val="NormalWeb"/>
        <w:shd w:val="clear" w:color="auto" w:fill="FFFFFF"/>
        <w:jc w:val="both"/>
        <w:rPr>
          <w:rStyle w:val="Strong"/>
          <w:b w:val="0"/>
          <w:bCs w:val="0"/>
          <w:color w:val="000000"/>
        </w:rPr>
      </w:pPr>
      <w:r w:rsidRPr="00777000">
        <w:rPr>
          <w:rStyle w:val="Strong"/>
          <w:color w:val="000000"/>
          <w:u w:val="single"/>
        </w:rPr>
        <w:lastRenderedPageBreak/>
        <w:t>GRIEVANCE</w:t>
      </w:r>
    </w:p>
    <w:p w14:paraId="25E6ADC7" w14:textId="23D71F2A" w:rsidR="00FE17F4" w:rsidRPr="00777000" w:rsidRDefault="00FE17F4" w:rsidP="00777000">
      <w:pPr>
        <w:pStyle w:val="NormalWeb"/>
        <w:shd w:val="clear" w:color="auto" w:fill="FFFFFF"/>
        <w:jc w:val="both"/>
        <w:rPr>
          <w:color w:val="000000"/>
        </w:rPr>
      </w:pPr>
      <w:r w:rsidRPr="00777000">
        <w:rPr>
          <w:color w:val="000000"/>
        </w:rPr>
        <w:t>A student who believes that a decision affecting some aspect of his/her university life has been unfair or unreasonable may have grounds for initiating a grievance. Read </w:t>
      </w:r>
      <w:hyperlink r:id="rId15" w:history="1">
        <w:r w:rsidRPr="00777000">
          <w:rPr>
            <w:rStyle w:val="Hyperlink"/>
            <w:color w:val="000000"/>
          </w:rPr>
          <w:t>Policy 70, Student Petitions and Grievances, Section 4</w:t>
        </w:r>
      </w:hyperlink>
      <w:r w:rsidRPr="00777000">
        <w:rPr>
          <w:color w:val="000000"/>
        </w:rPr>
        <w:t>. When in doubt, please be certain to contact the department’s administrative assistant who will provide further assistance.</w:t>
      </w:r>
    </w:p>
    <w:p w14:paraId="621A3A66" w14:textId="21220138" w:rsidR="00777000" w:rsidRPr="00777000" w:rsidRDefault="00777000" w:rsidP="00777000">
      <w:pPr>
        <w:pStyle w:val="NormalWeb"/>
        <w:shd w:val="clear" w:color="auto" w:fill="FFFFFF"/>
        <w:jc w:val="both"/>
        <w:rPr>
          <w:rStyle w:val="Strong"/>
          <w:color w:val="000000"/>
          <w:u w:val="single"/>
        </w:rPr>
      </w:pPr>
      <w:r w:rsidRPr="00777000">
        <w:rPr>
          <w:rStyle w:val="Strong"/>
          <w:color w:val="000000"/>
          <w:u w:val="single"/>
        </w:rPr>
        <w:t>DISCIPLINE</w:t>
      </w:r>
    </w:p>
    <w:p w14:paraId="1DA5636B" w14:textId="16915FF0" w:rsidR="00FE17F4" w:rsidRPr="00777000" w:rsidRDefault="00FE17F4" w:rsidP="00777000">
      <w:pPr>
        <w:pStyle w:val="NormalWeb"/>
        <w:shd w:val="clear" w:color="auto" w:fill="FFFFFF"/>
        <w:jc w:val="both"/>
        <w:rPr>
          <w:color w:val="000000"/>
        </w:rPr>
      </w:pPr>
      <w:r w:rsidRPr="00777000">
        <w:rPr>
          <w:color w:val="000000"/>
        </w:rPr>
        <w:t>A student is expected to know what constitutes academic integrity to avoid committing an academic offence, and to take responsibility for his/her actions. [Check </w:t>
      </w:r>
      <w:hyperlink r:id="rId16" w:history="1">
        <w:r w:rsidRPr="00777000">
          <w:rPr>
            <w:rStyle w:val="Hyperlink"/>
            <w:color w:val="000000"/>
          </w:rPr>
          <w:t>the Office of Academic Integrity</w:t>
        </w:r>
      </w:hyperlink>
      <w:r w:rsidRPr="00777000">
        <w:rPr>
          <w:color w:val="000000"/>
        </w:rPr>
        <w:t> for more information.]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w:t>
      </w:r>
      <w:hyperlink r:id="rId17" w:history="1">
        <w:r w:rsidRPr="00777000">
          <w:rPr>
            <w:rStyle w:val="Hyperlink"/>
            <w:color w:val="000000"/>
          </w:rPr>
          <w:t>Policy 71, Student Discipline</w:t>
        </w:r>
      </w:hyperlink>
      <w:r w:rsidRPr="00777000">
        <w:rPr>
          <w:color w:val="000000"/>
        </w:rPr>
        <w:t>. For typical penalties, check </w:t>
      </w:r>
      <w:hyperlink r:id="rId18" w:history="1">
        <w:r w:rsidRPr="00777000">
          <w:rPr>
            <w:rStyle w:val="Hyperlink"/>
            <w:color w:val="000000"/>
          </w:rPr>
          <w:t>Guidelines for the Assessment of Penalties</w:t>
        </w:r>
      </w:hyperlink>
      <w:r w:rsidRPr="00777000">
        <w:rPr>
          <w:color w:val="000000"/>
        </w:rPr>
        <w:t>.</w:t>
      </w:r>
    </w:p>
    <w:p w14:paraId="7295467D" w14:textId="72EFD93C" w:rsidR="00777000" w:rsidRPr="00777000" w:rsidRDefault="00777000" w:rsidP="00777000">
      <w:pPr>
        <w:pStyle w:val="NormalWeb"/>
        <w:shd w:val="clear" w:color="auto" w:fill="FFFFFF"/>
        <w:jc w:val="both"/>
        <w:rPr>
          <w:rStyle w:val="Strong"/>
          <w:color w:val="000000"/>
          <w:u w:val="single"/>
        </w:rPr>
      </w:pPr>
      <w:r w:rsidRPr="00777000">
        <w:rPr>
          <w:rStyle w:val="Strong"/>
          <w:color w:val="000000"/>
          <w:u w:val="single"/>
        </w:rPr>
        <w:t>APPEALS</w:t>
      </w:r>
    </w:p>
    <w:p w14:paraId="6CE3B538" w14:textId="3095817C" w:rsidR="00FE17F4" w:rsidRPr="00777000" w:rsidRDefault="00FE17F4" w:rsidP="00777000">
      <w:pPr>
        <w:pStyle w:val="NormalWeb"/>
        <w:shd w:val="clear" w:color="auto" w:fill="FFFFFF"/>
        <w:jc w:val="both"/>
        <w:rPr>
          <w:color w:val="000000"/>
        </w:rPr>
      </w:pPr>
      <w:r w:rsidRPr="00777000">
        <w:rPr>
          <w:color w:val="000000"/>
        </w:rPr>
        <w:t>A decision made or penalty imposed under </w:t>
      </w:r>
      <w:hyperlink r:id="rId19" w:history="1">
        <w:r w:rsidRPr="00777000">
          <w:rPr>
            <w:rStyle w:val="Hyperlink"/>
            <w:color w:val="000000"/>
          </w:rPr>
          <w:t>Policy 70, Student Petitions and Grievances</w:t>
        </w:r>
      </w:hyperlink>
      <w:r w:rsidRPr="00777000">
        <w:rPr>
          <w:color w:val="000000"/>
        </w:rPr>
        <w:t> (other than a petition) or </w:t>
      </w:r>
      <w:hyperlink r:id="rId20" w:history="1">
        <w:r w:rsidRPr="00777000">
          <w:rPr>
            <w:rStyle w:val="Hyperlink"/>
            <w:color w:val="000000"/>
          </w:rPr>
          <w:t>Policy 71, Student Discipline</w:t>
        </w:r>
      </w:hyperlink>
      <w:r w:rsidRPr="00777000">
        <w:rPr>
          <w:color w:val="000000"/>
        </w:rPr>
        <w:t> may be appealed if there is a ground. A student who believes he/she has a ground for an appeal should refer to </w:t>
      </w:r>
      <w:hyperlink r:id="rId21" w:history="1">
        <w:r w:rsidRPr="00777000">
          <w:rPr>
            <w:rStyle w:val="Hyperlink"/>
            <w:color w:val="000000"/>
          </w:rPr>
          <w:t>Policy 72, Student Appeals</w:t>
        </w:r>
      </w:hyperlink>
      <w:r w:rsidRPr="00777000">
        <w:rPr>
          <w:color w:val="000000"/>
        </w:rPr>
        <w:t>.</w:t>
      </w:r>
    </w:p>
    <w:p w14:paraId="6A6D64F9" w14:textId="634C2893" w:rsidR="00777000" w:rsidRPr="00777000" w:rsidRDefault="00777000" w:rsidP="00777000">
      <w:pPr>
        <w:pStyle w:val="NormalWeb"/>
        <w:shd w:val="clear" w:color="auto" w:fill="FFFFFF"/>
        <w:jc w:val="both"/>
        <w:rPr>
          <w:rStyle w:val="Strong"/>
          <w:color w:val="000000"/>
          <w:u w:val="single"/>
        </w:rPr>
      </w:pPr>
      <w:r w:rsidRPr="00777000">
        <w:rPr>
          <w:rStyle w:val="Strong"/>
          <w:color w:val="000000"/>
          <w:u w:val="single"/>
        </w:rPr>
        <w:t>NOTE FOR STUDENTS WITH DISABILITIES</w:t>
      </w:r>
    </w:p>
    <w:p w14:paraId="76AC0BC5" w14:textId="766DB95F" w:rsidR="00FE17F4" w:rsidRPr="00777000" w:rsidRDefault="000C3A23" w:rsidP="00777000">
      <w:pPr>
        <w:pStyle w:val="NormalWeb"/>
        <w:shd w:val="clear" w:color="auto" w:fill="FFFFFF"/>
        <w:jc w:val="both"/>
        <w:rPr>
          <w:color w:val="000000"/>
        </w:rPr>
      </w:pPr>
      <w:hyperlink r:id="rId22" w:history="1">
        <w:proofErr w:type="spellStart"/>
        <w:r w:rsidR="00FE17F4" w:rsidRPr="00777000">
          <w:rPr>
            <w:rStyle w:val="Hyperlink"/>
            <w:color w:val="000000"/>
          </w:rPr>
          <w:t>AccessAbility</w:t>
        </w:r>
        <w:proofErr w:type="spellEnd"/>
        <w:r w:rsidR="00FE17F4" w:rsidRPr="00777000">
          <w:rPr>
            <w:rStyle w:val="Hyperlink"/>
            <w:color w:val="000000"/>
          </w:rPr>
          <w:t xml:space="preserve"> Services</w:t>
        </w:r>
      </w:hyperlink>
      <w:r w:rsidR="00FE17F4" w:rsidRPr="00777000">
        <w:rPr>
          <w:color w:val="000000"/>
        </w:rPr>
        <w:t xml:space="preserve">,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00FE17F4" w:rsidRPr="00777000">
        <w:rPr>
          <w:color w:val="000000"/>
        </w:rPr>
        <w:t>AccessAbility</w:t>
      </w:r>
      <w:proofErr w:type="spellEnd"/>
      <w:r w:rsidR="00FE17F4" w:rsidRPr="00777000">
        <w:rPr>
          <w:color w:val="000000"/>
        </w:rPr>
        <w:t xml:space="preserve"> Services at the beginning of each academic term.</w:t>
      </w:r>
    </w:p>
    <w:p w14:paraId="300D5812" w14:textId="3A2B07BA" w:rsidR="00777000" w:rsidRPr="00777000" w:rsidRDefault="00777000" w:rsidP="00777000">
      <w:pPr>
        <w:pStyle w:val="NormalWeb"/>
        <w:shd w:val="clear" w:color="auto" w:fill="FFFFFF"/>
        <w:jc w:val="both"/>
        <w:rPr>
          <w:rStyle w:val="Strong"/>
          <w:color w:val="000000"/>
          <w:u w:val="single"/>
        </w:rPr>
      </w:pPr>
      <w:r w:rsidRPr="00777000">
        <w:rPr>
          <w:rStyle w:val="Strong"/>
          <w:color w:val="000000"/>
          <w:u w:val="single"/>
        </w:rPr>
        <w:t>TURNITIN.COM</w:t>
      </w:r>
    </w:p>
    <w:p w14:paraId="414C6A18" w14:textId="7BBD8111" w:rsidR="00FE17F4" w:rsidRPr="00777000" w:rsidRDefault="00FE17F4" w:rsidP="00777000">
      <w:pPr>
        <w:pStyle w:val="NormalWeb"/>
        <w:shd w:val="clear" w:color="auto" w:fill="FFFFFF"/>
        <w:jc w:val="both"/>
        <w:rPr>
          <w:color w:val="000000"/>
        </w:rPr>
      </w:pPr>
      <w:r w:rsidRPr="00777000">
        <w:rPr>
          <w:color w:val="000000"/>
        </w:rPr>
        <w:t>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Turnitin in this course.</w:t>
      </w:r>
    </w:p>
    <w:p w14:paraId="2B8EF95B" w14:textId="77777777" w:rsidR="00FE17F4" w:rsidRPr="00777000" w:rsidRDefault="00FE17F4" w:rsidP="00777000">
      <w:pPr>
        <w:pStyle w:val="NormalWeb"/>
        <w:shd w:val="clear" w:color="auto" w:fill="FFFFFF"/>
        <w:jc w:val="both"/>
        <w:rPr>
          <w:color w:val="000000"/>
        </w:rPr>
      </w:pPr>
      <w:r w:rsidRPr="00777000">
        <w:rPr>
          <w:color w:val="000000"/>
        </w:rPr>
        <w:t>It is the responsibility of the student to notify the instructor if they, in the first week of term or at the time assignment details are provided, wish to submit alternate assignment.</w:t>
      </w:r>
    </w:p>
    <w:p w14:paraId="7E5C8F1B" w14:textId="77777777" w:rsidR="00777000" w:rsidRDefault="00777000" w:rsidP="00777000">
      <w:pPr>
        <w:jc w:val="both"/>
        <w:rPr>
          <w:b/>
          <w:u w:val="single"/>
        </w:rPr>
      </w:pPr>
    </w:p>
    <w:p w14:paraId="5FE45A73" w14:textId="43A3CF82" w:rsidR="00777000" w:rsidRPr="00777000" w:rsidRDefault="00777000" w:rsidP="00777000">
      <w:pPr>
        <w:jc w:val="both"/>
        <w:rPr>
          <w:b/>
          <w:u w:val="single"/>
        </w:rPr>
      </w:pPr>
      <w:r w:rsidRPr="00777000">
        <w:rPr>
          <w:b/>
          <w:u w:val="single"/>
        </w:rPr>
        <w:lastRenderedPageBreak/>
        <w:t>NOTE ABOUT COVID-19 ABSENCES</w:t>
      </w:r>
    </w:p>
    <w:p w14:paraId="566EDB19" w14:textId="77777777" w:rsidR="00777000" w:rsidRDefault="00777000" w:rsidP="00777000">
      <w:pPr>
        <w:jc w:val="both"/>
      </w:pPr>
    </w:p>
    <w:p w14:paraId="75D82871" w14:textId="68421016" w:rsidR="00777000" w:rsidRPr="00777000" w:rsidRDefault="00777000" w:rsidP="00777000">
      <w:pPr>
        <w:jc w:val="both"/>
      </w:pPr>
      <w:r w:rsidRPr="00777000">
        <w:t>This is a challenging time for all of us. Every effort will be made to take into consideration and accommodate different stresses and difficulties caused by the pandemic and the pivot to on-line learning. In order to effectively support you, please do let the Instructor know as soon as possible if you become ill and need course accommodations</w:t>
      </w:r>
      <w:r>
        <w:t>.</w:t>
      </w:r>
      <w:r w:rsidRPr="00777000">
        <w:t xml:space="preserve"> </w:t>
      </w:r>
    </w:p>
    <w:p w14:paraId="00947981" w14:textId="77777777" w:rsidR="00777000" w:rsidRPr="00777000" w:rsidRDefault="00777000" w:rsidP="00777000">
      <w:pPr>
        <w:jc w:val="both"/>
        <w:rPr>
          <w:b/>
          <w:u w:val="single"/>
        </w:rPr>
      </w:pPr>
    </w:p>
    <w:p w14:paraId="53A9B945" w14:textId="77777777" w:rsidR="00777000" w:rsidRPr="00777000" w:rsidRDefault="00777000" w:rsidP="00777000">
      <w:pPr>
        <w:jc w:val="both"/>
        <w:rPr>
          <w:b/>
          <w:u w:val="single"/>
        </w:rPr>
      </w:pPr>
      <w:r w:rsidRPr="00777000">
        <w:rPr>
          <w:b/>
          <w:u w:val="single"/>
        </w:rPr>
        <w:t>NOTE ABOUT ON-LINE PRIVACY</w:t>
      </w:r>
    </w:p>
    <w:p w14:paraId="31356BAD" w14:textId="77777777" w:rsidR="00777000" w:rsidRPr="00777000" w:rsidRDefault="00777000" w:rsidP="00777000">
      <w:pPr>
        <w:jc w:val="both"/>
        <w:rPr>
          <w:b/>
          <w:u w:val="single"/>
        </w:rPr>
      </w:pPr>
    </w:p>
    <w:p w14:paraId="69709CFE" w14:textId="77777777" w:rsidR="00777000" w:rsidRPr="00777000" w:rsidRDefault="00777000" w:rsidP="00777000">
      <w:pPr>
        <w:jc w:val="both"/>
        <w:rPr>
          <w:color w:val="000000"/>
        </w:rPr>
      </w:pPr>
      <w:r w:rsidRPr="00777000">
        <w:rPr>
          <w:b/>
          <w:u w:val="single"/>
        </w:rPr>
        <w:t xml:space="preserve">Re-posting recorded lectures is prohibited. </w:t>
      </w:r>
    </w:p>
    <w:p w14:paraId="73341A33" w14:textId="6F6616DE" w:rsidR="00FE17F4" w:rsidRDefault="00777000" w:rsidP="00777000">
      <w:pPr>
        <w:jc w:val="both"/>
        <w:rPr>
          <w:iCs/>
          <w:color w:val="000000"/>
          <w:u w:val="single"/>
        </w:rPr>
      </w:pPr>
      <w:r w:rsidRPr="00777000">
        <w:rPr>
          <w:iCs/>
          <w:color w:val="000000"/>
        </w:rPr>
        <w:t>Course videos and materials belong to your instructor, the University, and/or other sources depending on the specific facts of each situation and are protected by copyright. Do not copy or share any course or student materials or videos without the explicit permission of the instructor.</w:t>
      </w:r>
    </w:p>
    <w:p w14:paraId="3A88287A" w14:textId="77777777" w:rsidR="00777000" w:rsidRPr="00777000" w:rsidRDefault="00777000" w:rsidP="00777000">
      <w:pPr>
        <w:jc w:val="both"/>
        <w:rPr>
          <w:color w:val="000000"/>
        </w:rPr>
      </w:pPr>
    </w:p>
    <w:p w14:paraId="66034265" w14:textId="77777777" w:rsidR="00777000" w:rsidRDefault="00777000">
      <w:pPr>
        <w:spacing w:after="160" w:line="259" w:lineRule="auto"/>
        <w:rPr>
          <w:b/>
          <w:bCs/>
          <w:u w:val="single"/>
        </w:rPr>
      </w:pPr>
      <w:r>
        <w:rPr>
          <w:b/>
          <w:bCs/>
          <w:u w:val="single"/>
        </w:rPr>
        <w:br w:type="page"/>
      </w:r>
    </w:p>
    <w:p w14:paraId="0DD10D8D" w14:textId="1485A478" w:rsidR="00292DAB" w:rsidRPr="005E5EEB" w:rsidRDefault="002C0670" w:rsidP="006568FF">
      <w:pPr>
        <w:rPr>
          <w:b/>
          <w:bCs/>
          <w:u w:val="single"/>
        </w:rPr>
      </w:pPr>
      <w:r w:rsidRPr="005E5EEB">
        <w:rPr>
          <w:b/>
          <w:bCs/>
          <w:u w:val="single"/>
        </w:rPr>
        <w:lastRenderedPageBreak/>
        <w:t>COURSE CONTENT</w:t>
      </w:r>
    </w:p>
    <w:p w14:paraId="1A240A77" w14:textId="77777777" w:rsidR="005E5EEB" w:rsidRPr="00656E61" w:rsidRDefault="005E5EEB" w:rsidP="006568FF">
      <w:pPr>
        <w:rPr>
          <w:b/>
          <w:bCs/>
        </w:rPr>
      </w:pPr>
    </w:p>
    <w:tbl>
      <w:tblPr>
        <w:tblStyle w:val="TableGrid"/>
        <w:tblW w:w="0" w:type="auto"/>
        <w:tblLayout w:type="fixed"/>
        <w:tblLook w:val="04A0" w:firstRow="1" w:lastRow="0" w:firstColumn="1" w:lastColumn="0" w:noHBand="0" w:noVBand="1"/>
      </w:tblPr>
      <w:tblGrid>
        <w:gridCol w:w="1838"/>
        <w:gridCol w:w="7512"/>
      </w:tblGrid>
      <w:tr w:rsidR="00656E61" w:rsidRPr="00656E61" w14:paraId="3FD56603" w14:textId="77777777" w:rsidTr="00FE0758">
        <w:tc>
          <w:tcPr>
            <w:tcW w:w="9350" w:type="dxa"/>
            <w:gridSpan w:val="2"/>
            <w:shd w:val="clear" w:color="auto" w:fill="BFBFBF" w:themeFill="background1" w:themeFillShade="BF"/>
          </w:tcPr>
          <w:p w14:paraId="5C3D899E" w14:textId="395CF0F8" w:rsidR="00656E61" w:rsidRPr="00CD1277" w:rsidRDefault="00656E61" w:rsidP="00B63FDE">
            <w:pPr>
              <w:jc w:val="center"/>
              <w:rPr>
                <w:b/>
                <w:bCs/>
              </w:rPr>
            </w:pPr>
            <w:r w:rsidRPr="00CD1277">
              <w:rPr>
                <w:b/>
                <w:bCs/>
              </w:rPr>
              <w:t>PART 1: F</w:t>
            </w:r>
            <w:r w:rsidR="00F70F92">
              <w:rPr>
                <w:b/>
                <w:bCs/>
              </w:rPr>
              <w:t>RAMING THE DEBATES</w:t>
            </w:r>
          </w:p>
        </w:tc>
      </w:tr>
      <w:tr w:rsidR="00FE0758" w:rsidRPr="00656E61" w14:paraId="579D50E6" w14:textId="77777777" w:rsidTr="00FE0758">
        <w:tc>
          <w:tcPr>
            <w:tcW w:w="1838" w:type="dxa"/>
          </w:tcPr>
          <w:p w14:paraId="03067239" w14:textId="77777777" w:rsidR="00F1591A" w:rsidRDefault="0033643F" w:rsidP="0058566F">
            <w:pPr>
              <w:rPr>
                <w:b/>
                <w:bCs/>
              </w:rPr>
            </w:pPr>
            <w:r w:rsidRPr="00656E61">
              <w:rPr>
                <w:b/>
                <w:bCs/>
              </w:rPr>
              <w:t>Week</w:t>
            </w:r>
            <w:r w:rsidR="00900BFF" w:rsidRPr="00656E61">
              <w:rPr>
                <w:b/>
                <w:bCs/>
              </w:rPr>
              <w:t xml:space="preserve"> </w:t>
            </w:r>
            <w:r w:rsidR="0058566F" w:rsidRPr="00656E61">
              <w:rPr>
                <w:b/>
                <w:bCs/>
              </w:rPr>
              <w:t>1</w:t>
            </w:r>
            <w:r w:rsidR="00900BFF" w:rsidRPr="00656E61">
              <w:rPr>
                <w:b/>
                <w:bCs/>
              </w:rPr>
              <w:t xml:space="preserve">: </w:t>
            </w:r>
          </w:p>
          <w:p w14:paraId="2451B911" w14:textId="3A08EA04" w:rsidR="0058566F" w:rsidRPr="00656E61" w:rsidRDefault="00900BFF" w:rsidP="0058566F">
            <w:pPr>
              <w:rPr>
                <w:b/>
                <w:bCs/>
              </w:rPr>
            </w:pPr>
            <w:r w:rsidRPr="00656E61">
              <w:rPr>
                <w:b/>
                <w:bCs/>
              </w:rPr>
              <w:t>Jan</w:t>
            </w:r>
            <w:r w:rsidR="002B1137" w:rsidRPr="00656E61">
              <w:rPr>
                <w:b/>
                <w:bCs/>
              </w:rPr>
              <w:t xml:space="preserve"> 11</w:t>
            </w:r>
            <w:r w:rsidR="002B1137" w:rsidRPr="00656E61">
              <w:rPr>
                <w:b/>
                <w:bCs/>
                <w:vertAlign w:val="superscript"/>
              </w:rPr>
              <w:t>th</w:t>
            </w:r>
          </w:p>
          <w:p w14:paraId="3C288E2E" w14:textId="7AE33F7E" w:rsidR="002E41A3" w:rsidRPr="00656E61" w:rsidRDefault="002E41A3" w:rsidP="0058566F"/>
          <w:p w14:paraId="5214F0CB" w14:textId="28A82B2B" w:rsidR="002E41A3" w:rsidRPr="00656E61" w:rsidRDefault="002E41A3" w:rsidP="002E41A3">
            <w:pPr>
              <w:autoSpaceDE w:val="0"/>
              <w:autoSpaceDN w:val="0"/>
              <w:adjustRightInd w:val="0"/>
            </w:pPr>
            <w:r w:rsidRPr="00656E61">
              <w:t>Introduction to course</w:t>
            </w:r>
            <w:r w:rsidR="00690AB9" w:rsidRPr="00656E61">
              <w:t xml:space="preserve"> themes, </w:t>
            </w:r>
          </w:p>
          <w:p w14:paraId="7B07BB3B" w14:textId="523A2072" w:rsidR="002E41A3" w:rsidRPr="00656E61" w:rsidRDefault="00690AB9" w:rsidP="00690AB9">
            <w:pPr>
              <w:autoSpaceDE w:val="0"/>
              <w:autoSpaceDN w:val="0"/>
              <w:adjustRightInd w:val="0"/>
            </w:pPr>
            <w:r w:rsidRPr="00656E61">
              <w:t>e</w:t>
            </w:r>
            <w:r w:rsidR="002E41A3" w:rsidRPr="00656E61">
              <w:t>xpectations</w:t>
            </w:r>
            <w:r w:rsidRPr="00656E61">
              <w:t xml:space="preserve"> </w:t>
            </w:r>
            <w:r w:rsidR="002E41A3" w:rsidRPr="00656E61">
              <w:t>and assignments</w:t>
            </w:r>
          </w:p>
          <w:p w14:paraId="13B55AB3" w14:textId="521E485A" w:rsidR="0033643F" w:rsidRPr="00656E61" w:rsidRDefault="0033643F" w:rsidP="00173D81"/>
        </w:tc>
        <w:tc>
          <w:tcPr>
            <w:tcW w:w="7512" w:type="dxa"/>
            <w:vAlign w:val="center"/>
          </w:tcPr>
          <w:p w14:paraId="046522A7" w14:textId="36EF0F59" w:rsidR="00CD1277" w:rsidRDefault="00CD1277" w:rsidP="00CC49B9">
            <w:pPr>
              <w:jc w:val="center"/>
            </w:pPr>
          </w:p>
          <w:p w14:paraId="0C2CA965" w14:textId="77777777" w:rsidR="00CD1277" w:rsidRDefault="00CD1277" w:rsidP="00CC49B9">
            <w:pPr>
              <w:jc w:val="center"/>
            </w:pPr>
          </w:p>
          <w:p w14:paraId="17E89B9E" w14:textId="1418ED08" w:rsidR="00CD1277" w:rsidRPr="00CD1277" w:rsidRDefault="00C13225" w:rsidP="00CC49B9">
            <w:pPr>
              <w:jc w:val="center"/>
              <w:rPr>
                <w:b/>
                <w:bCs/>
              </w:rPr>
            </w:pPr>
            <w:r w:rsidRPr="00CD1277">
              <w:rPr>
                <w:b/>
                <w:bCs/>
              </w:rPr>
              <w:t xml:space="preserve">WELCOME LECTURE </w:t>
            </w:r>
          </w:p>
          <w:p w14:paraId="08364088" w14:textId="490D2245" w:rsidR="00C17254" w:rsidRPr="00CD1277" w:rsidRDefault="00173D81" w:rsidP="00CC49B9">
            <w:pPr>
              <w:jc w:val="center"/>
              <w:rPr>
                <w:b/>
                <w:bCs/>
              </w:rPr>
            </w:pPr>
            <w:r w:rsidRPr="00CD1277">
              <w:rPr>
                <w:b/>
                <w:bCs/>
              </w:rPr>
              <w:t>No readings required this week.</w:t>
            </w:r>
          </w:p>
          <w:p w14:paraId="1DE0E0D6" w14:textId="77777777" w:rsidR="001816C1" w:rsidRPr="00656E61" w:rsidRDefault="001816C1" w:rsidP="00CC49B9">
            <w:pPr>
              <w:jc w:val="center"/>
              <w:rPr>
                <w:b/>
                <w:bCs/>
              </w:rPr>
            </w:pPr>
          </w:p>
          <w:p w14:paraId="2F652DDD" w14:textId="31DEBD33" w:rsidR="001816C1" w:rsidRPr="00656E61" w:rsidRDefault="001816C1" w:rsidP="00CC49B9">
            <w:pPr>
              <w:jc w:val="center"/>
              <w:rPr>
                <w:b/>
                <w:bCs/>
              </w:rPr>
            </w:pPr>
          </w:p>
        </w:tc>
      </w:tr>
      <w:tr w:rsidR="00FE0758" w:rsidRPr="00656E61" w14:paraId="5834C29C" w14:textId="77777777" w:rsidTr="00FE0758">
        <w:tc>
          <w:tcPr>
            <w:tcW w:w="1838" w:type="dxa"/>
          </w:tcPr>
          <w:p w14:paraId="66E3538B" w14:textId="77777777" w:rsidR="00F1591A" w:rsidRDefault="00017E00" w:rsidP="00017E00">
            <w:pPr>
              <w:rPr>
                <w:b/>
              </w:rPr>
            </w:pPr>
            <w:r w:rsidRPr="00656E61">
              <w:rPr>
                <w:b/>
              </w:rPr>
              <w:t xml:space="preserve">Week 2: </w:t>
            </w:r>
          </w:p>
          <w:p w14:paraId="446B2485" w14:textId="709A34AA" w:rsidR="00017E00" w:rsidRPr="00656E61" w:rsidRDefault="00017E00" w:rsidP="00017E00">
            <w:pPr>
              <w:rPr>
                <w:b/>
              </w:rPr>
            </w:pPr>
            <w:r w:rsidRPr="00656E61">
              <w:rPr>
                <w:b/>
              </w:rPr>
              <w:t>Jan 18</w:t>
            </w:r>
            <w:r w:rsidRPr="00656E61">
              <w:rPr>
                <w:b/>
                <w:vertAlign w:val="superscript"/>
              </w:rPr>
              <w:t>th</w:t>
            </w:r>
          </w:p>
          <w:p w14:paraId="7C5B3818" w14:textId="77777777" w:rsidR="00F1591A" w:rsidRDefault="00F1591A" w:rsidP="00017E00">
            <w:pPr>
              <w:rPr>
                <w:bCs/>
              </w:rPr>
            </w:pPr>
          </w:p>
          <w:p w14:paraId="7B3FAB73" w14:textId="1A885CC2" w:rsidR="00017E00" w:rsidRPr="00656E61" w:rsidRDefault="00017E00" w:rsidP="00017E00">
            <w:pPr>
              <w:rPr>
                <w:b/>
                <w:bCs/>
              </w:rPr>
            </w:pPr>
            <w:r w:rsidRPr="00656E61">
              <w:rPr>
                <w:bCs/>
              </w:rPr>
              <w:t>Cultural Relativism</w:t>
            </w:r>
          </w:p>
          <w:p w14:paraId="3D7CB66A" w14:textId="77777777" w:rsidR="00017E00" w:rsidRPr="00656E61" w:rsidRDefault="00017E00" w:rsidP="00017E00">
            <w:pPr>
              <w:rPr>
                <w:b/>
              </w:rPr>
            </w:pPr>
          </w:p>
        </w:tc>
        <w:tc>
          <w:tcPr>
            <w:tcW w:w="7512" w:type="dxa"/>
          </w:tcPr>
          <w:p w14:paraId="765E3F39" w14:textId="77777777" w:rsidR="00017E00" w:rsidRPr="00434B70" w:rsidRDefault="00017E00" w:rsidP="00017E00">
            <w:pPr>
              <w:rPr>
                <w:b/>
                <w:bCs/>
              </w:rPr>
            </w:pPr>
            <w:r w:rsidRPr="00434B70">
              <w:rPr>
                <w:b/>
                <w:bCs/>
              </w:rPr>
              <w:t>REQUIRED READINGS:</w:t>
            </w:r>
          </w:p>
          <w:p w14:paraId="18AC5FAD" w14:textId="77777777" w:rsidR="00017E00" w:rsidRDefault="00017E00" w:rsidP="00017E00"/>
          <w:p w14:paraId="27DF2DF7" w14:textId="77777777" w:rsidR="00017E00" w:rsidRPr="00551446" w:rsidRDefault="00017E00" w:rsidP="00017E00">
            <w:pPr>
              <w:pStyle w:val="ListParagraph"/>
              <w:numPr>
                <w:ilvl w:val="0"/>
                <w:numId w:val="9"/>
              </w:numPr>
            </w:pPr>
            <w:r w:rsidRPr="00551446">
              <w:rPr>
                <w:color w:val="000000"/>
                <w:shd w:val="clear" w:color="auto" w:fill="FFFFFF"/>
              </w:rPr>
              <w:t>Abu-Lughod, Lila. “</w:t>
            </w:r>
            <w:r w:rsidRPr="00CD1277">
              <w:rPr>
                <w:b/>
                <w:bCs/>
                <w:color w:val="000000"/>
                <w:shd w:val="clear" w:color="auto" w:fill="FFFFFF"/>
              </w:rPr>
              <w:t>Do Muslim Women Really Need Saving?</w:t>
            </w:r>
            <w:r w:rsidRPr="00551446">
              <w:rPr>
                <w:color w:val="000000"/>
                <w:shd w:val="clear" w:color="auto" w:fill="FFFFFF"/>
              </w:rPr>
              <w:t xml:space="preserve"> </w:t>
            </w:r>
            <w:r w:rsidRPr="00CD1277">
              <w:rPr>
                <w:b/>
                <w:bCs/>
                <w:color w:val="000000"/>
                <w:shd w:val="clear" w:color="auto" w:fill="FFFFFF"/>
              </w:rPr>
              <w:t>Anthropological Reflections on Cultural Relativism and Its Others</w:t>
            </w:r>
            <w:r w:rsidRPr="00551446">
              <w:rPr>
                <w:color w:val="000000"/>
                <w:shd w:val="clear" w:color="auto" w:fill="FFFFFF"/>
              </w:rPr>
              <w:t>.”</w:t>
            </w:r>
            <w:r w:rsidRPr="00551446">
              <w:rPr>
                <w:rStyle w:val="apple-converted-space"/>
                <w:color w:val="000000"/>
                <w:shd w:val="clear" w:color="auto" w:fill="FFFFFF"/>
              </w:rPr>
              <w:t> </w:t>
            </w:r>
            <w:r w:rsidRPr="00551446">
              <w:rPr>
                <w:i/>
                <w:iCs/>
                <w:color w:val="000000"/>
              </w:rPr>
              <w:t>American anthropologist</w:t>
            </w:r>
            <w:r w:rsidRPr="00551446">
              <w:rPr>
                <w:rStyle w:val="apple-converted-space"/>
                <w:color w:val="000000"/>
                <w:shd w:val="clear" w:color="auto" w:fill="FFFFFF"/>
              </w:rPr>
              <w:t> </w:t>
            </w:r>
            <w:r w:rsidRPr="00551446">
              <w:rPr>
                <w:color w:val="000000"/>
                <w:shd w:val="clear" w:color="auto" w:fill="FFFFFF"/>
              </w:rPr>
              <w:t xml:space="preserve">104.3 (2002): 783–790. </w:t>
            </w:r>
          </w:p>
          <w:p w14:paraId="37F32676" w14:textId="77777777" w:rsidR="00017E00" w:rsidRDefault="00017E00" w:rsidP="00017E00"/>
          <w:p w14:paraId="06174C85" w14:textId="77777777" w:rsidR="00017E00" w:rsidRPr="00CD1277" w:rsidRDefault="00017E00" w:rsidP="00017E00">
            <w:pPr>
              <w:pStyle w:val="ListParagraph"/>
              <w:numPr>
                <w:ilvl w:val="0"/>
                <w:numId w:val="9"/>
              </w:numPr>
            </w:pPr>
            <w:proofErr w:type="spellStart"/>
            <w:r w:rsidRPr="00CD1277">
              <w:rPr>
                <w:color w:val="000000"/>
                <w:shd w:val="clear" w:color="auto" w:fill="FFFFFF"/>
              </w:rPr>
              <w:t>Zechenter</w:t>
            </w:r>
            <w:proofErr w:type="spellEnd"/>
            <w:r w:rsidRPr="00CD1277">
              <w:rPr>
                <w:color w:val="000000"/>
                <w:shd w:val="clear" w:color="auto" w:fill="FFFFFF"/>
              </w:rPr>
              <w:t>, Elizabeth. “</w:t>
            </w:r>
            <w:r w:rsidRPr="00CD1277">
              <w:rPr>
                <w:b/>
                <w:bCs/>
                <w:color w:val="000000"/>
                <w:shd w:val="clear" w:color="auto" w:fill="FFFFFF"/>
              </w:rPr>
              <w:t>In the Name of Culture: Cultural Relativism and the Abuse of the Individual</w:t>
            </w:r>
            <w:r w:rsidRPr="00CD1277">
              <w:rPr>
                <w:color w:val="000000"/>
                <w:shd w:val="clear" w:color="auto" w:fill="FFFFFF"/>
              </w:rPr>
              <w:t>.”</w:t>
            </w:r>
            <w:r w:rsidRPr="00CD1277">
              <w:rPr>
                <w:rStyle w:val="apple-converted-space"/>
                <w:color w:val="000000"/>
                <w:shd w:val="clear" w:color="auto" w:fill="FFFFFF"/>
              </w:rPr>
              <w:t> </w:t>
            </w:r>
            <w:r w:rsidRPr="00CD1277">
              <w:rPr>
                <w:i/>
                <w:iCs/>
                <w:color w:val="000000"/>
              </w:rPr>
              <w:t>Journal of anthropological research</w:t>
            </w:r>
            <w:r w:rsidRPr="00CD1277">
              <w:rPr>
                <w:rStyle w:val="apple-converted-space"/>
                <w:color w:val="000000"/>
                <w:shd w:val="clear" w:color="auto" w:fill="FFFFFF"/>
              </w:rPr>
              <w:t> </w:t>
            </w:r>
            <w:r w:rsidRPr="00CD1277">
              <w:rPr>
                <w:color w:val="000000"/>
                <w:shd w:val="clear" w:color="auto" w:fill="FFFFFF"/>
              </w:rPr>
              <w:t xml:space="preserve">53.3 (1997): 319–347. </w:t>
            </w:r>
          </w:p>
          <w:p w14:paraId="746EC2D1" w14:textId="77777777" w:rsidR="00017E00" w:rsidRPr="00434B70" w:rsidRDefault="00017E00" w:rsidP="00017E00">
            <w:pPr>
              <w:rPr>
                <w:b/>
                <w:bCs/>
              </w:rPr>
            </w:pPr>
          </w:p>
        </w:tc>
      </w:tr>
      <w:tr w:rsidR="00F773DE" w:rsidRPr="00656E61" w14:paraId="7FAD5970" w14:textId="77777777" w:rsidTr="00F773DE">
        <w:tc>
          <w:tcPr>
            <w:tcW w:w="9350" w:type="dxa"/>
            <w:gridSpan w:val="2"/>
            <w:shd w:val="clear" w:color="auto" w:fill="BFBFBF" w:themeFill="background1" w:themeFillShade="BF"/>
          </w:tcPr>
          <w:p w14:paraId="4BD6B732" w14:textId="77777777" w:rsidR="00F773DE" w:rsidRDefault="00F773DE" w:rsidP="00F773DE">
            <w:pPr>
              <w:jc w:val="center"/>
              <w:rPr>
                <w:b/>
                <w:bCs/>
              </w:rPr>
            </w:pPr>
            <w:r>
              <w:rPr>
                <w:b/>
                <w:bCs/>
              </w:rPr>
              <w:t>ASSIGNMENT 1</w:t>
            </w:r>
            <w:r w:rsidRPr="00FD7447">
              <w:rPr>
                <w:b/>
                <w:bCs/>
              </w:rPr>
              <w:t>:</w:t>
            </w:r>
          </w:p>
          <w:p w14:paraId="528CD3FC" w14:textId="2587E413" w:rsidR="00F773DE" w:rsidRPr="00434B70" w:rsidRDefault="00F773DE" w:rsidP="00F773DE">
            <w:pPr>
              <w:jc w:val="center"/>
              <w:rPr>
                <w:b/>
                <w:bCs/>
              </w:rPr>
            </w:pPr>
            <w:r w:rsidRPr="00FD7447">
              <w:rPr>
                <w:b/>
                <w:iCs/>
              </w:rPr>
              <w:t>Position Paper (15%)</w:t>
            </w:r>
          </w:p>
        </w:tc>
      </w:tr>
      <w:tr w:rsidR="00FE0758" w:rsidRPr="00656E61" w14:paraId="471BE09E" w14:textId="77777777" w:rsidTr="00FE0758">
        <w:tc>
          <w:tcPr>
            <w:tcW w:w="1838" w:type="dxa"/>
          </w:tcPr>
          <w:p w14:paraId="4B2D0E3F" w14:textId="77777777" w:rsidR="00F1591A" w:rsidRDefault="00017E00" w:rsidP="00017E00">
            <w:pPr>
              <w:rPr>
                <w:b/>
                <w:bCs/>
              </w:rPr>
            </w:pPr>
            <w:r w:rsidRPr="00656E61">
              <w:rPr>
                <w:b/>
                <w:bCs/>
              </w:rPr>
              <w:t xml:space="preserve">Week 3: </w:t>
            </w:r>
          </w:p>
          <w:p w14:paraId="09A83755" w14:textId="2958B539" w:rsidR="00017E00" w:rsidRPr="00656E61" w:rsidRDefault="00017E00" w:rsidP="00017E00">
            <w:pPr>
              <w:rPr>
                <w:b/>
                <w:bCs/>
              </w:rPr>
            </w:pPr>
            <w:r w:rsidRPr="00656E61">
              <w:rPr>
                <w:b/>
                <w:bCs/>
              </w:rPr>
              <w:t>Jan 25</w:t>
            </w:r>
            <w:r w:rsidRPr="00656E61">
              <w:rPr>
                <w:b/>
                <w:bCs/>
                <w:vertAlign w:val="superscript"/>
              </w:rPr>
              <w:t>th</w:t>
            </w:r>
          </w:p>
          <w:p w14:paraId="3E89FED6" w14:textId="77777777" w:rsidR="00017E00" w:rsidRPr="00656E61" w:rsidRDefault="00017E00" w:rsidP="00017E00">
            <w:pPr>
              <w:rPr>
                <w:bCs/>
              </w:rPr>
            </w:pPr>
          </w:p>
          <w:p w14:paraId="49356AAF" w14:textId="43626A6C" w:rsidR="00017E00" w:rsidRPr="00656E61" w:rsidRDefault="00017E00" w:rsidP="00017E00">
            <w:pPr>
              <w:rPr>
                <w:b/>
                <w:bCs/>
              </w:rPr>
            </w:pPr>
            <w:r w:rsidRPr="005B0E35">
              <w:t>Civilizational Discourses</w:t>
            </w:r>
            <w:r w:rsidR="00573BEA">
              <w:t xml:space="preserve"> </w:t>
            </w:r>
          </w:p>
        </w:tc>
        <w:tc>
          <w:tcPr>
            <w:tcW w:w="7512" w:type="dxa"/>
          </w:tcPr>
          <w:p w14:paraId="1E5F4996" w14:textId="77777777" w:rsidR="00017E00" w:rsidRPr="00434B70" w:rsidRDefault="00017E00" w:rsidP="00017E00">
            <w:pPr>
              <w:rPr>
                <w:b/>
                <w:bCs/>
              </w:rPr>
            </w:pPr>
            <w:r w:rsidRPr="00434B70">
              <w:rPr>
                <w:b/>
                <w:bCs/>
              </w:rPr>
              <w:t>REQUIRED READINGS:</w:t>
            </w:r>
          </w:p>
          <w:p w14:paraId="4896B391" w14:textId="77777777" w:rsidR="00017E00" w:rsidRPr="003A0941" w:rsidRDefault="00017E00" w:rsidP="00017E00">
            <w:pPr>
              <w:pStyle w:val="ListParagraph"/>
              <w:rPr>
                <w:u w:val="single"/>
              </w:rPr>
            </w:pPr>
          </w:p>
          <w:p w14:paraId="5873A4BB" w14:textId="77777777" w:rsidR="00017E00" w:rsidRPr="00AC1085" w:rsidRDefault="00017E00" w:rsidP="00017E00">
            <w:pPr>
              <w:pStyle w:val="ListParagraph"/>
              <w:numPr>
                <w:ilvl w:val="0"/>
                <w:numId w:val="10"/>
              </w:numPr>
            </w:pPr>
            <w:r w:rsidRPr="00302731">
              <w:rPr>
                <w:color w:val="000000"/>
                <w:spacing w:val="-5"/>
                <w:shd w:val="clear" w:color="auto" w:fill="FFFFFF"/>
              </w:rPr>
              <w:t xml:space="preserve">Huntington, S. (1993). </w:t>
            </w:r>
            <w:r w:rsidRPr="00302731">
              <w:rPr>
                <w:b/>
                <w:bCs/>
                <w:color w:val="000000"/>
                <w:spacing w:val="-5"/>
                <w:shd w:val="clear" w:color="auto" w:fill="FFFFFF"/>
              </w:rPr>
              <w:t>The Clash of Civilizations?</w:t>
            </w:r>
            <w:r w:rsidRPr="00302731">
              <w:rPr>
                <w:rStyle w:val="apple-converted-space"/>
                <w:color w:val="000000"/>
                <w:spacing w:val="-5"/>
                <w:shd w:val="clear" w:color="auto" w:fill="FFFFFF"/>
              </w:rPr>
              <w:t> </w:t>
            </w:r>
            <w:r w:rsidRPr="00302731">
              <w:rPr>
                <w:i/>
                <w:iCs/>
                <w:color w:val="000000"/>
                <w:spacing w:val="-5"/>
              </w:rPr>
              <w:t>Foreign Affairs,</w:t>
            </w:r>
            <w:r w:rsidRPr="00302731">
              <w:rPr>
                <w:rStyle w:val="apple-converted-space"/>
                <w:color w:val="000000"/>
                <w:spacing w:val="-5"/>
                <w:shd w:val="clear" w:color="auto" w:fill="FFFFFF"/>
              </w:rPr>
              <w:t> </w:t>
            </w:r>
            <w:r w:rsidRPr="00302731">
              <w:rPr>
                <w:i/>
                <w:iCs/>
                <w:color w:val="000000"/>
                <w:spacing w:val="-5"/>
              </w:rPr>
              <w:t>72</w:t>
            </w:r>
            <w:r w:rsidRPr="00302731">
              <w:rPr>
                <w:color w:val="000000"/>
                <w:spacing w:val="-5"/>
                <w:shd w:val="clear" w:color="auto" w:fill="FFFFFF"/>
              </w:rPr>
              <w:t>(3), 22-49. doi:10.2307/20045621</w:t>
            </w:r>
          </w:p>
          <w:p w14:paraId="678378B7" w14:textId="77777777" w:rsidR="00017E00" w:rsidRDefault="00017E00" w:rsidP="00017E00"/>
          <w:p w14:paraId="39BAFC11" w14:textId="77777777" w:rsidR="00017E00" w:rsidRPr="00AC1085" w:rsidRDefault="00017E00" w:rsidP="00017E00">
            <w:pPr>
              <w:pStyle w:val="ListParagraph"/>
              <w:numPr>
                <w:ilvl w:val="0"/>
                <w:numId w:val="12"/>
              </w:numPr>
            </w:pPr>
            <w:r>
              <w:t>Hall, M., &amp; Jackson, P. T. (2007).</w:t>
            </w:r>
            <w:r>
              <w:rPr>
                <w:rStyle w:val="apple-converted-space"/>
              </w:rPr>
              <w:t> </w:t>
            </w:r>
            <w:r w:rsidRPr="00AC1085">
              <w:rPr>
                <w:rStyle w:val="apple-converted-space"/>
                <w:b/>
                <w:bCs/>
              </w:rPr>
              <w:t>Chapter 11: Deconstructing the Eurocentric Clash of Civilizations: De-Westernizing the West by Acknowledging the Dialogue of Civilizations.</w:t>
            </w:r>
            <w:r>
              <w:rPr>
                <w:rStyle w:val="apple-converted-space"/>
              </w:rPr>
              <w:t xml:space="preserve"> In </w:t>
            </w:r>
            <w:r w:rsidRPr="00AC1085">
              <w:rPr>
                <w:i/>
                <w:iCs/>
              </w:rPr>
              <w:t>Civilizational identity: the production and reproduction of “civilizations” in international relations</w:t>
            </w:r>
            <w:r>
              <w:t>. Palgrave Macmillan.</w:t>
            </w:r>
          </w:p>
          <w:p w14:paraId="5564EE1E" w14:textId="77777777" w:rsidR="00017E00" w:rsidRPr="003A0941" w:rsidRDefault="00017E00" w:rsidP="00017E00">
            <w:pPr>
              <w:pStyle w:val="ListParagraph"/>
              <w:rPr>
                <w:b/>
                <w:bCs/>
              </w:rPr>
            </w:pPr>
          </w:p>
          <w:p w14:paraId="1C0FDBDA" w14:textId="72A616CE" w:rsidR="00017E00" w:rsidRDefault="00017E00" w:rsidP="00017E00">
            <w:pPr>
              <w:rPr>
                <w:b/>
                <w:bCs/>
              </w:rPr>
            </w:pPr>
            <w:r w:rsidRPr="00AC1085">
              <w:rPr>
                <w:b/>
                <w:bCs/>
              </w:rPr>
              <w:t>ADDITIONAL READING:</w:t>
            </w:r>
          </w:p>
          <w:p w14:paraId="68C5D3D2" w14:textId="77777777" w:rsidR="00017E00" w:rsidRPr="00AC1085" w:rsidRDefault="00017E00" w:rsidP="00017E00">
            <w:pPr>
              <w:rPr>
                <w:b/>
                <w:bCs/>
              </w:rPr>
            </w:pPr>
          </w:p>
          <w:p w14:paraId="5D093D74" w14:textId="77777777" w:rsidR="00017E00" w:rsidRPr="00A044B2" w:rsidRDefault="00017E00" w:rsidP="00017E00">
            <w:pPr>
              <w:pStyle w:val="ListParagraph"/>
              <w:numPr>
                <w:ilvl w:val="0"/>
                <w:numId w:val="12"/>
              </w:numPr>
              <w:rPr>
                <w:rStyle w:val="Hyperlink"/>
                <w:b/>
                <w:bCs/>
                <w:color w:val="auto"/>
              </w:rPr>
            </w:pPr>
            <w:r w:rsidRPr="001C00BA">
              <w:t>Graeber D 2007 “There Never was a West”</w:t>
            </w:r>
            <w:r>
              <w:t xml:space="preserve"> </w:t>
            </w:r>
            <w:r w:rsidRPr="001C00BA">
              <w:t xml:space="preserve">in </w:t>
            </w:r>
            <w:r w:rsidRPr="00017E00">
              <w:rPr>
                <w:i/>
              </w:rPr>
              <w:t>Possibilities: Essays on Hierarchy, Rebellion and Desire</w:t>
            </w:r>
            <w:r w:rsidRPr="001C00BA">
              <w:t xml:space="preserve">, AK Press </w:t>
            </w:r>
            <w:hyperlink r:id="rId23" w:history="1">
              <w:r w:rsidRPr="001C00BA">
                <w:rPr>
                  <w:rStyle w:val="Hyperlink"/>
                </w:rPr>
                <w:t>https://theanarchistlibrary.org/library/david-graeber-there-never-was-a-west</w:t>
              </w:r>
            </w:hyperlink>
          </w:p>
          <w:p w14:paraId="214AA154" w14:textId="31DBEC69" w:rsidR="00A044B2" w:rsidRPr="00017E00" w:rsidRDefault="00A044B2" w:rsidP="00A044B2">
            <w:pPr>
              <w:pStyle w:val="ListParagraph"/>
              <w:rPr>
                <w:b/>
                <w:bCs/>
              </w:rPr>
            </w:pPr>
          </w:p>
        </w:tc>
      </w:tr>
      <w:tr w:rsidR="00FE0758" w:rsidRPr="00656E61" w14:paraId="407BB3E8" w14:textId="77777777" w:rsidTr="00FE0758">
        <w:tc>
          <w:tcPr>
            <w:tcW w:w="1838" w:type="dxa"/>
          </w:tcPr>
          <w:p w14:paraId="0A92706D" w14:textId="77777777" w:rsidR="00017E00" w:rsidRDefault="00017E00" w:rsidP="00017E00">
            <w:pPr>
              <w:rPr>
                <w:b/>
                <w:bCs/>
                <w:vertAlign w:val="superscript"/>
              </w:rPr>
            </w:pPr>
            <w:r w:rsidRPr="00656E61">
              <w:rPr>
                <w:b/>
                <w:bCs/>
              </w:rPr>
              <w:t>Week 4: Feb 1</w:t>
            </w:r>
            <w:r w:rsidRPr="00656E61">
              <w:rPr>
                <w:b/>
                <w:bCs/>
                <w:vertAlign w:val="superscript"/>
              </w:rPr>
              <w:t>st</w:t>
            </w:r>
          </w:p>
          <w:p w14:paraId="1F1640B7" w14:textId="55E3431C" w:rsidR="00017E00" w:rsidRDefault="00017E00" w:rsidP="00017E00">
            <w:pPr>
              <w:rPr>
                <w:b/>
                <w:bCs/>
              </w:rPr>
            </w:pPr>
          </w:p>
          <w:p w14:paraId="0117AA53" w14:textId="77777777" w:rsidR="00F1591A" w:rsidRPr="00E56283" w:rsidRDefault="00F1591A" w:rsidP="00F1591A">
            <w:pPr>
              <w:rPr>
                <w:b/>
                <w:bCs/>
              </w:rPr>
            </w:pPr>
            <w:r w:rsidRPr="005B0E35">
              <w:t>Civilizational Discourses</w:t>
            </w:r>
          </w:p>
          <w:p w14:paraId="1384E3B8" w14:textId="7F60B4E4" w:rsidR="00017E00" w:rsidRPr="005B0E35" w:rsidRDefault="00017E00" w:rsidP="00017E00"/>
        </w:tc>
        <w:tc>
          <w:tcPr>
            <w:tcW w:w="7512" w:type="dxa"/>
          </w:tcPr>
          <w:p w14:paraId="11C7E66C" w14:textId="77777777" w:rsidR="00F1591A" w:rsidRPr="00434B70" w:rsidRDefault="00F1591A" w:rsidP="00F1591A">
            <w:pPr>
              <w:rPr>
                <w:b/>
                <w:bCs/>
              </w:rPr>
            </w:pPr>
            <w:r w:rsidRPr="00434B70">
              <w:rPr>
                <w:b/>
                <w:bCs/>
              </w:rPr>
              <w:t>REQUIRED READINGS:</w:t>
            </w:r>
          </w:p>
          <w:p w14:paraId="3CDF73B5" w14:textId="77777777" w:rsidR="00F1591A" w:rsidRPr="00E56283" w:rsidRDefault="00F1591A" w:rsidP="00F1591A"/>
          <w:p w14:paraId="6366C29D" w14:textId="77777777" w:rsidR="00F1591A" w:rsidRPr="00E56283" w:rsidRDefault="00F1591A" w:rsidP="00F1591A">
            <w:pPr>
              <w:pStyle w:val="ListParagraph"/>
              <w:numPr>
                <w:ilvl w:val="0"/>
                <w:numId w:val="10"/>
              </w:numPr>
            </w:pPr>
            <w:r w:rsidRPr="00E56283">
              <w:rPr>
                <w:color w:val="292B2C"/>
                <w:shd w:val="clear" w:color="auto" w:fill="FFFFFF"/>
              </w:rPr>
              <w:t>Hall, M., &amp; Jackson, P. T. (2007).</w:t>
            </w:r>
            <w:r w:rsidRPr="00E56283">
              <w:rPr>
                <w:rStyle w:val="apple-converted-space"/>
                <w:color w:val="292B2C"/>
                <w:shd w:val="clear" w:color="auto" w:fill="FFFFFF"/>
              </w:rPr>
              <w:t> </w:t>
            </w:r>
            <w:r w:rsidRPr="00AC1085">
              <w:rPr>
                <w:rStyle w:val="apple-converted-space"/>
                <w:b/>
                <w:bCs/>
                <w:color w:val="292B2C"/>
                <w:shd w:val="clear" w:color="auto" w:fill="FFFFFF"/>
              </w:rPr>
              <w:t>Chapter 2: Discourses of Civilizational Identity</w:t>
            </w:r>
            <w:r>
              <w:rPr>
                <w:rStyle w:val="apple-converted-space"/>
                <w:color w:val="292B2C"/>
                <w:shd w:val="clear" w:color="auto" w:fill="FFFFFF"/>
              </w:rPr>
              <w:t xml:space="preserve">. In </w:t>
            </w:r>
            <w:r w:rsidRPr="00E56283">
              <w:rPr>
                <w:i/>
                <w:iCs/>
                <w:color w:val="292B2C"/>
              </w:rPr>
              <w:t xml:space="preserve">Civilizational identity: the production </w:t>
            </w:r>
            <w:r w:rsidRPr="00E56283">
              <w:rPr>
                <w:i/>
                <w:iCs/>
                <w:color w:val="292B2C"/>
              </w:rPr>
              <w:lastRenderedPageBreak/>
              <w:t>and reproduction of “civilizations” in international relations</w:t>
            </w:r>
            <w:r w:rsidRPr="00E56283">
              <w:rPr>
                <w:color w:val="292B2C"/>
                <w:shd w:val="clear" w:color="auto" w:fill="FFFFFF"/>
              </w:rPr>
              <w:t>. Palgrave Macmillan.</w:t>
            </w:r>
          </w:p>
          <w:p w14:paraId="7844F565" w14:textId="77777777" w:rsidR="00F1591A" w:rsidRDefault="00F1591A" w:rsidP="00F1591A">
            <w:pPr>
              <w:rPr>
                <w:sz w:val="22"/>
                <w:szCs w:val="22"/>
              </w:rPr>
            </w:pPr>
          </w:p>
          <w:p w14:paraId="42759E71" w14:textId="77777777" w:rsidR="00017E00" w:rsidRPr="009C1C97" w:rsidRDefault="00F1591A" w:rsidP="00F1591A">
            <w:pPr>
              <w:pStyle w:val="ListParagraph"/>
              <w:numPr>
                <w:ilvl w:val="0"/>
                <w:numId w:val="10"/>
              </w:numPr>
            </w:pPr>
            <w:r w:rsidRPr="00D32551">
              <w:rPr>
                <w:color w:val="212529"/>
                <w:shd w:val="clear" w:color="auto" w:fill="FFFFFF"/>
              </w:rPr>
              <w:t xml:space="preserve">Cox, R. W. (2001). </w:t>
            </w:r>
            <w:r w:rsidRPr="00D32551">
              <w:rPr>
                <w:b/>
                <w:bCs/>
                <w:color w:val="212529"/>
                <w:shd w:val="clear" w:color="auto" w:fill="FFFFFF"/>
              </w:rPr>
              <w:t>Civilizations and the twenty‐first century: some theoretical considerations.</w:t>
            </w:r>
            <w:r w:rsidRPr="00D32551">
              <w:rPr>
                <w:rStyle w:val="apple-converted-space"/>
                <w:color w:val="212529"/>
                <w:shd w:val="clear" w:color="auto" w:fill="FFFFFF"/>
              </w:rPr>
              <w:t> </w:t>
            </w:r>
            <w:r w:rsidRPr="00D32551">
              <w:rPr>
                <w:i/>
                <w:iCs/>
                <w:color w:val="212529"/>
              </w:rPr>
              <w:t>International Relations of the Asia‐Pacific</w:t>
            </w:r>
            <w:r w:rsidRPr="00D32551">
              <w:rPr>
                <w:color w:val="212529"/>
                <w:shd w:val="clear" w:color="auto" w:fill="FFFFFF"/>
              </w:rPr>
              <w:t>,</w:t>
            </w:r>
            <w:r w:rsidRPr="00D32551">
              <w:rPr>
                <w:rStyle w:val="apple-converted-space"/>
                <w:color w:val="212529"/>
                <w:shd w:val="clear" w:color="auto" w:fill="FFFFFF"/>
              </w:rPr>
              <w:t> </w:t>
            </w:r>
            <w:r w:rsidRPr="00D32551">
              <w:rPr>
                <w:i/>
                <w:iCs/>
                <w:color w:val="212529"/>
              </w:rPr>
              <w:t>1</w:t>
            </w:r>
            <w:r w:rsidRPr="00D32551">
              <w:rPr>
                <w:color w:val="212529"/>
                <w:shd w:val="clear" w:color="auto" w:fill="FFFFFF"/>
              </w:rPr>
              <w:t>(1), 105–130.</w:t>
            </w:r>
          </w:p>
          <w:p w14:paraId="6C20C6E8" w14:textId="20143658" w:rsidR="009C1C97" w:rsidRPr="009C1C97" w:rsidRDefault="009C1C97" w:rsidP="009C1C97"/>
        </w:tc>
      </w:tr>
      <w:tr w:rsidR="00F773DE" w:rsidRPr="00656E61" w14:paraId="59C4A0DE" w14:textId="77777777" w:rsidTr="00D2343D">
        <w:tc>
          <w:tcPr>
            <w:tcW w:w="9350" w:type="dxa"/>
            <w:gridSpan w:val="2"/>
            <w:shd w:val="clear" w:color="auto" w:fill="BFBFBF" w:themeFill="background1" w:themeFillShade="BF"/>
          </w:tcPr>
          <w:p w14:paraId="7F60105B" w14:textId="468765A7" w:rsidR="00F773DE" w:rsidRDefault="00F773DE" w:rsidP="00F773DE">
            <w:pPr>
              <w:jc w:val="center"/>
              <w:rPr>
                <w:b/>
                <w:bCs/>
              </w:rPr>
            </w:pPr>
            <w:r>
              <w:rPr>
                <w:b/>
                <w:bCs/>
              </w:rPr>
              <w:lastRenderedPageBreak/>
              <w:t>ASSIGNMENT 2:</w:t>
            </w:r>
            <w:r w:rsidR="00A044B2">
              <w:rPr>
                <w:b/>
                <w:bCs/>
              </w:rPr>
              <w:t xml:space="preserve"> </w:t>
            </w:r>
          </w:p>
          <w:p w14:paraId="66FB825A" w14:textId="39C89516" w:rsidR="00170A32" w:rsidRPr="00434B70" w:rsidRDefault="00A044B2" w:rsidP="00F773DE">
            <w:pPr>
              <w:jc w:val="center"/>
              <w:rPr>
                <w:b/>
                <w:bCs/>
              </w:rPr>
            </w:pPr>
            <w:r>
              <w:rPr>
                <w:b/>
                <w:bCs/>
              </w:rPr>
              <w:t>Critical Summary (15%)</w:t>
            </w:r>
          </w:p>
        </w:tc>
      </w:tr>
      <w:tr w:rsidR="00F773DE" w:rsidRPr="00656E61" w14:paraId="722529D8" w14:textId="77777777" w:rsidTr="00FE0758">
        <w:tc>
          <w:tcPr>
            <w:tcW w:w="1838" w:type="dxa"/>
          </w:tcPr>
          <w:p w14:paraId="006C0163" w14:textId="77777777" w:rsidR="00F773DE" w:rsidRPr="00656E61" w:rsidRDefault="00F773DE" w:rsidP="00F773DE">
            <w:pPr>
              <w:rPr>
                <w:b/>
                <w:bCs/>
                <w:vertAlign w:val="superscript"/>
              </w:rPr>
            </w:pPr>
            <w:r w:rsidRPr="00656E61">
              <w:rPr>
                <w:b/>
                <w:bCs/>
              </w:rPr>
              <w:t>Week 5: Feb 8</w:t>
            </w:r>
            <w:r w:rsidRPr="00656E61">
              <w:rPr>
                <w:b/>
                <w:bCs/>
                <w:vertAlign w:val="superscript"/>
              </w:rPr>
              <w:t>th</w:t>
            </w:r>
          </w:p>
          <w:p w14:paraId="7DE62024" w14:textId="77777777" w:rsidR="00F773DE" w:rsidRDefault="00F773DE" w:rsidP="00F773DE"/>
          <w:p w14:paraId="4BFC3E12" w14:textId="5CF837F6" w:rsidR="00F773DE" w:rsidRDefault="00F773DE" w:rsidP="00F773DE">
            <w:r w:rsidRPr="00691387">
              <w:t>Legislating Culture</w:t>
            </w:r>
            <w:r>
              <w:t>:</w:t>
            </w:r>
          </w:p>
          <w:p w14:paraId="7493441E" w14:textId="77777777" w:rsidR="003C7594" w:rsidRDefault="003C7594" w:rsidP="00F773DE">
            <w:pPr>
              <w:rPr>
                <w:i/>
                <w:iCs/>
              </w:rPr>
            </w:pPr>
          </w:p>
          <w:p w14:paraId="6344E5F1" w14:textId="787D28CD" w:rsidR="00F773DE" w:rsidRPr="00F773DE" w:rsidRDefault="00F773DE" w:rsidP="00F773DE">
            <w:pPr>
              <w:rPr>
                <w:i/>
                <w:iCs/>
              </w:rPr>
            </w:pPr>
            <w:r w:rsidRPr="00F773DE">
              <w:rPr>
                <w:i/>
                <w:iCs/>
              </w:rPr>
              <w:t>South Africa</w:t>
            </w:r>
          </w:p>
          <w:p w14:paraId="5CA86107" w14:textId="77777777" w:rsidR="00F773DE" w:rsidRPr="00656E61" w:rsidRDefault="00F773DE" w:rsidP="00F773DE">
            <w:pPr>
              <w:rPr>
                <w:b/>
                <w:bCs/>
              </w:rPr>
            </w:pPr>
          </w:p>
        </w:tc>
        <w:tc>
          <w:tcPr>
            <w:tcW w:w="7512" w:type="dxa"/>
          </w:tcPr>
          <w:p w14:paraId="2750CB5E" w14:textId="77777777" w:rsidR="00F773DE" w:rsidRPr="00434B70" w:rsidRDefault="00F773DE" w:rsidP="00F773DE">
            <w:pPr>
              <w:rPr>
                <w:b/>
                <w:bCs/>
              </w:rPr>
            </w:pPr>
            <w:r w:rsidRPr="00434B70">
              <w:rPr>
                <w:b/>
                <w:bCs/>
              </w:rPr>
              <w:t>REQUIRED READINGS:</w:t>
            </w:r>
          </w:p>
          <w:p w14:paraId="61969BE1" w14:textId="77777777" w:rsidR="00F773DE" w:rsidRPr="008D15B8" w:rsidRDefault="00F773DE" w:rsidP="00F773DE">
            <w:pPr>
              <w:rPr>
                <w:color w:val="000000" w:themeColor="text1"/>
              </w:rPr>
            </w:pPr>
          </w:p>
          <w:p w14:paraId="69E6F28F" w14:textId="77777777" w:rsidR="00F773DE" w:rsidRDefault="00F773DE" w:rsidP="00F773DE">
            <w:pPr>
              <w:pStyle w:val="ListParagraph"/>
              <w:numPr>
                <w:ilvl w:val="0"/>
                <w:numId w:val="13"/>
              </w:numPr>
              <w:rPr>
                <w:color w:val="000000" w:themeColor="text1"/>
              </w:rPr>
            </w:pPr>
            <w:proofErr w:type="spellStart"/>
            <w:r w:rsidRPr="008D15B8">
              <w:rPr>
                <w:color w:val="000000" w:themeColor="text1"/>
                <w:shd w:val="clear" w:color="auto" w:fill="FFFFFF"/>
              </w:rPr>
              <w:t>Albertyn</w:t>
            </w:r>
            <w:proofErr w:type="spellEnd"/>
            <w:r w:rsidRPr="008D15B8">
              <w:rPr>
                <w:color w:val="000000" w:themeColor="text1"/>
                <w:shd w:val="clear" w:color="auto" w:fill="FFFFFF"/>
              </w:rPr>
              <w:t xml:space="preserve">, C. (2009). </w:t>
            </w:r>
            <w:r w:rsidRPr="00D84918">
              <w:rPr>
                <w:b/>
                <w:bCs/>
                <w:color w:val="000000" w:themeColor="text1"/>
                <w:shd w:val="clear" w:color="auto" w:fill="FFFFFF"/>
              </w:rPr>
              <w:t>'The stubborn persistence of patriarchy'? Gender equality and cultural diversity in South Africa.</w:t>
            </w:r>
            <w:r w:rsidRPr="008D15B8">
              <w:rPr>
                <w:color w:val="000000" w:themeColor="text1"/>
                <w:shd w:val="clear" w:color="auto" w:fill="FFFFFF"/>
              </w:rPr>
              <w:t xml:space="preserve"> </w:t>
            </w:r>
            <w:r w:rsidRPr="008D15B8">
              <w:rPr>
                <w:i/>
                <w:iCs/>
              </w:rPr>
              <w:t xml:space="preserve">Constitutional Court Review 2. </w:t>
            </w:r>
            <w:hyperlink r:id="rId24" w:history="1">
              <w:r w:rsidRPr="005E34C6">
                <w:rPr>
                  <w:rStyle w:val="Hyperlink"/>
                </w:rPr>
                <w:t>https://constitutionalcourtreview.co.za/wp-content/uploads/2018/10/2009-Article-5-Catherine-Albertyn.pdf</w:t>
              </w:r>
            </w:hyperlink>
          </w:p>
          <w:p w14:paraId="5BF44066" w14:textId="77777777" w:rsidR="00F773DE" w:rsidRDefault="00F773DE" w:rsidP="00F773DE">
            <w:pPr>
              <w:pStyle w:val="ListParagraph"/>
              <w:rPr>
                <w:color w:val="000000" w:themeColor="text1"/>
              </w:rPr>
            </w:pPr>
          </w:p>
          <w:p w14:paraId="44576AD6" w14:textId="77777777" w:rsidR="00F773DE" w:rsidRPr="002A1666" w:rsidRDefault="00F773DE" w:rsidP="00F773DE">
            <w:pPr>
              <w:pStyle w:val="ListParagraph"/>
              <w:numPr>
                <w:ilvl w:val="0"/>
                <w:numId w:val="13"/>
              </w:numPr>
            </w:pPr>
            <w:proofErr w:type="spellStart"/>
            <w:r w:rsidRPr="002A1666">
              <w:rPr>
                <w:color w:val="000000"/>
                <w:shd w:val="clear" w:color="auto" w:fill="FFFFFF"/>
              </w:rPr>
              <w:t>Nhlapo</w:t>
            </w:r>
            <w:proofErr w:type="spellEnd"/>
            <w:r w:rsidRPr="002A1666">
              <w:rPr>
                <w:color w:val="000000"/>
                <w:shd w:val="clear" w:color="auto" w:fill="FFFFFF"/>
              </w:rPr>
              <w:t xml:space="preserve">, </w:t>
            </w:r>
            <w:proofErr w:type="spellStart"/>
            <w:r w:rsidRPr="002A1666">
              <w:rPr>
                <w:color w:val="000000"/>
                <w:shd w:val="clear" w:color="auto" w:fill="FFFFFF"/>
              </w:rPr>
              <w:t>Thandabantu</w:t>
            </w:r>
            <w:proofErr w:type="spellEnd"/>
            <w:r w:rsidRPr="002A1666">
              <w:rPr>
                <w:color w:val="000000"/>
                <w:shd w:val="clear" w:color="auto" w:fill="FFFFFF"/>
              </w:rPr>
              <w:t xml:space="preserve">. </w:t>
            </w:r>
            <w:r w:rsidRPr="002A1666">
              <w:rPr>
                <w:b/>
                <w:bCs/>
                <w:color w:val="000000"/>
                <w:shd w:val="clear" w:color="auto" w:fill="FFFFFF"/>
              </w:rPr>
              <w:t>“Customary Law in Post-Apartheid South Africa: Constitutional Confrontations in Culture, Gender and ‘Living Law.’”</w:t>
            </w:r>
            <w:r w:rsidRPr="002A1666">
              <w:rPr>
                <w:rStyle w:val="apple-converted-space"/>
                <w:color w:val="000000"/>
                <w:shd w:val="clear" w:color="auto" w:fill="FFFFFF"/>
              </w:rPr>
              <w:t> </w:t>
            </w:r>
            <w:r w:rsidRPr="002A1666">
              <w:rPr>
                <w:i/>
                <w:iCs/>
                <w:color w:val="000000"/>
              </w:rPr>
              <w:t>South African journal on human rights</w:t>
            </w:r>
            <w:r w:rsidRPr="002A1666">
              <w:rPr>
                <w:rStyle w:val="apple-converted-space"/>
                <w:color w:val="000000"/>
                <w:shd w:val="clear" w:color="auto" w:fill="FFFFFF"/>
              </w:rPr>
              <w:t> </w:t>
            </w:r>
            <w:r w:rsidRPr="002A1666">
              <w:rPr>
                <w:color w:val="000000"/>
                <w:shd w:val="clear" w:color="auto" w:fill="FFFFFF"/>
              </w:rPr>
              <w:t>33.1 (2017): 1–24. Web.</w:t>
            </w:r>
          </w:p>
          <w:p w14:paraId="68AA6F27" w14:textId="77777777" w:rsidR="00F773DE" w:rsidRDefault="00F773DE" w:rsidP="00F773DE"/>
          <w:p w14:paraId="6D771C15" w14:textId="77777777" w:rsidR="00F773DE" w:rsidRDefault="00F773DE" w:rsidP="00F773DE">
            <w:pPr>
              <w:rPr>
                <w:b/>
                <w:bCs/>
              </w:rPr>
            </w:pPr>
            <w:r w:rsidRPr="002A1666">
              <w:rPr>
                <w:b/>
                <w:bCs/>
              </w:rPr>
              <w:t>ADDITIONAL READING:</w:t>
            </w:r>
          </w:p>
          <w:p w14:paraId="0D7D4792" w14:textId="77777777" w:rsidR="00F773DE" w:rsidRDefault="00F773DE" w:rsidP="00F773DE">
            <w:pPr>
              <w:rPr>
                <w:b/>
                <w:bCs/>
              </w:rPr>
            </w:pPr>
          </w:p>
          <w:p w14:paraId="2AB4A498" w14:textId="77777777" w:rsidR="00F773DE" w:rsidRPr="00F773DE" w:rsidRDefault="00F773DE" w:rsidP="00F773DE">
            <w:pPr>
              <w:pStyle w:val="ListParagraph"/>
              <w:numPr>
                <w:ilvl w:val="0"/>
                <w:numId w:val="17"/>
              </w:numPr>
              <w:rPr>
                <w:b/>
                <w:bCs/>
              </w:rPr>
            </w:pPr>
            <w:r w:rsidRPr="00F773DE">
              <w:rPr>
                <w:iCs/>
              </w:rPr>
              <w:t xml:space="preserve">Sibanda, S. (2010) </w:t>
            </w:r>
            <w:r w:rsidRPr="00F773DE">
              <w:rPr>
                <w:b/>
                <w:bCs/>
                <w:iCs/>
              </w:rPr>
              <w:t xml:space="preserve">“When is the Past not the Past? Reflections on Customary Law under South Africa’s Constitutional Dispensation” </w:t>
            </w:r>
            <w:r w:rsidRPr="00F773DE">
              <w:rPr>
                <w:i/>
              </w:rPr>
              <w:t>Human Rights Brief, 17</w:t>
            </w:r>
            <w:r w:rsidRPr="00F773DE">
              <w:rPr>
                <w:iCs/>
              </w:rPr>
              <w:t xml:space="preserve"> (3)6, 1-5. </w:t>
            </w:r>
            <w:hyperlink r:id="rId25" w:history="1">
              <w:r w:rsidRPr="005E34C6">
                <w:rPr>
                  <w:rStyle w:val="Hyperlink"/>
                </w:rPr>
                <w:t>https://digitalcommons.wcl.american.edu/cgi/viewcontent.cgi?article=1131&amp;context=hrbrief</w:t>
              </w:r>
            </w:hyperlink>
          </w:p>
          <w:p w14:paraId="429F3E48" w14:textId="1F521321" w:rsidR="00F773DE" w:rsidRPr="00F773DE" w:rsidRDefault="00F773DE" w:rsidP="00F773DE">
            <w:pPr>
              <w:pStyle w:val="ListParagraph"/>
              <w:rPr>
                <w:b/>
                <w:bCs/>
              </w:rPr>
            </w:pPr>
          </w:p>
        </w:tc>
      </w:tr>
      <w:tr w:rsidR="00F773DE" w:rsidRPr="00656E61" w14:paraId="755E8ACA" w14:textId="77777777" w:rsidTr="00F773DE">
        <w:tc>
          <w:tcPr>
            <w:tcW w:w="1838" w:type="dxa"/>
            <w:shd w:val="clear" w:color="auto" w:fill="D9D9D9" w:themeFill="background1" w:themeFillShade="D9"/>
          </w:tcPr>
          <w:p w14:paraId="1F405200" w14:textId="77777777" w:rsidR="00A044B2" w:rsidRDefault="00F773DE" w:rsidP="00F773DE">
            <w:pPr>
              <w:rPr>
                <w:b/>
                <w:bCs/>
              </w:rPr>
            </w:pPr>
            <w:r w:rsidRPr="00656E61">
              <w:rPr>
                <w:b/>
                <w:bCs/>
              </w:rPr>
              <w:t xml:space="preserve">Week 6: </w:t>
            </w:r>
          </w:p>
          <w:p w14:paraId="14016D2F" w14:textId="2F5D0973" w:rsidR="00F773DE" w:rsidRPr="00656E61" w:rsidRDefault="00F773DE" w:rsidP="00F773DE">
            <w:pPr>
              <w:rPr>
                <w:b/>
                <w:bCs/>
              </w:rPr>
            </w:pPr>
            <w:r w:rsidRPr="00656E61">
              <w:rPr>
                <w:b/>
                <w:bCs/>
              </w:rPr>
              <w:t>Feb 15</w:t>
            </w:r>
            <w:r w:rsidRPr="00656E61">
              <w:rPr>
                <w:b/>
                <w:bCs/>
                <w:vertAlign w:val="superscript"/>
              </w:rPr>
              <w:t>th</w:t>
            </w:r>
          </w:p>
        </w:tc>
        <w:tc>
          <w:tcPr>
            <w:tcW w:w="7512" w:type="dxa"/>
            <w:shd w:val="clear" w:color="auto" w:fill="D9D9D9" w:themeFill="background1" w:themeFillShade="D9"/>
            <w:vAlign w:val="center"/>
          </w:tcPr>
          <w:p w14:paraId="15C6595A" w14:textId="12F18592" w:rsidR="00F773DE" w:rsidRPr="00E91350" w:rsidRDefault="00F773DE" w:rsidP="00F773DE">
            <w:pPr>
              <w:jc w:val="center"/>
              <w:rPr>
                <w:b/>
                <w:bCs/>
              </w:rPr>
            </w:pPr>
            <w:r w:rsidRPr="00E91350">
              <w:rPr>
                <w:b/>
                <w:bCs/>
              </w:rPr>
              <w:t>READING WEEK, NO CLASSES THIS WEEK (HOORAY!)</w:t>
            </w:r>
          </w:p>
        </w:tc>
      </w:tr>
      <w:tr w:rsidR="00F773DE" w:rsidRPr="00656E61" w14:paraId="0268F0F6" w14:textId="77777777" w:rsidTr="00FE0758">
        <w:tc>
          <w:tcPr>
            <w:tcW w:w="9350" w:type="dxa"/>
            <w:gridSpan w:val="2"/>
            <w:shd w:val="clear" w:color="auto" w:fill="BFBFBF" w:themeFill="background1" w:themeFillShade="BF"/>
          </w:tcPr>
          <w:p w14:paraId="0E698D93" w14:textId="20B8BC38" w:rsidR="00F773DE" w:rsidRPr="00434B70" w:rsidRDefault="00F773DE" w:rsidP="00F773DE">
            <w:pPr>
              <w:jc w:val="center"/>
              <w:rPr>
                <w:b/>
                <w:bCs/>
              </w:rPr>
            </w:pPr>
            <w:r>
              <w:rPr>
                <w:b/>
                <w:bCs/>
              </w:rPr>
              <w:t>PART 2: C</w:t>
            </w:r>
            <w:r w:rsidR="009C1C97">
              <w:rPr>
                <w:b/>
                <w:bCs/>
              </w:rPr>
              <w:t>ASE STUDIES</w:t>
            </w:r>
          </w:p>
        </w:tc>
      </w:tr>
      <w:tr w:rsidR="00BE6283" w:rsidRPr="00656E61" w14:paraId="36AEFF1A" w14:textId="77777777" w:rsidTr="00FE0758">
        <w:tc>
          <w:tcPr>
            <w:tcW w:w="1838" w:type="dxa"/>
          </w:tcPr>
          <w:p w14:paraId="0A82C781" w14:textId="77777777" w:rsidR="00A044B2" w:rsidRDefault="00BE6283" w:rsidP="00BE6283">
            <w:pPr>
              <w:rPr>
                <w:b/>
                <w:bCs/>
              </w:rPr>
            </w:pPr>
            <w:r w:rsidRPr="00656E61">
              <w:rPr>
                <w:b/>
                <w:bCs/>
              </w:rPr>
              <w:t xml:space="preserve">Week 7: </w:t>
            </w:r>
          </w:p>
          <w:p w14:paraId="304A052E" w14:textId="01969FF2" w:rsidR="00BE6283" w:rsidRDefault="00BE6283" w:rsidP="00BE6283">
            <w:pPr>
              <w:rPr>
                <w:b/>
                <w:bCs/>
                <w:vertAlign w:val="superscript"/>
              </w:rPr>
            </w:pPr>
            <w:r w:rsidRPr="00656E61">
              <w:rPr>
                <w:b/>
                <w:bCs/>
              </w:rPr>
              <w:t>Feb 22</w:t>
            </w:r>
            <w:r w:rsidRPr="00656E61">
              <w:rPr>
                <w:b/>
                <w:bCs/>
                <w:vertAlign w:val="superscript"/>
              </w:rPr>
              <w:t>nd</w:t>
            </w:r>
          </w:p>
          <w:p w14:paraId="580C172F" w14:textId="62E241B6" w:rsidR="00BE6283" w:rsidRDefault="00BE6283" w:rsidP="00BE6283">
            <w:pPr>
              <w:rPr>
                <w:b/>
                <w:bCs/>
                <w:vertAlign w:val="superscript"/>
              </w:rPr>
            </w:pPr>
          </w:p>
          <w:p w14:paraId="1AD86AFB" w14:textId="77777777" w:rsidR="00BE6283" w:rsidRDefault="00BE6283" w:rsidP="00BE6283">
            <w:r>
              <w:t>Culture and Traditional Practices</w:t>
            </w:r>
          </w:p>
          <w:p w14:paraId="7B8CD009" w14:textId="77777777" w:rsidR="00BE6283" w:rsidRDefault="00BE6283" w:rsidP="00BE6283"/>
          <w:p w14:paraId="6415D397" w14:textId="77777777" w:rsidR="00BE6283" w:rsidRPr="003C7594" w:rsidRDefault="00BE6283" w:rsidP="00BE6283">
            <w:pPr>
              <w:rPr>
                <w:i/>
                <w:iCs/>
              </w:rPr>
            </w:pPr>
            <w:r w:rsidRPr="003C7594">
              <w:rPr>
                <w:i/>
                <w:iCs/>
              </w:rPr>
              <w:t>Africa &amp; Asia</w:t>
            </w:r>
          </w:p>
          <w:p w14:paraId="1CFFC294" w14:textId="77777777" w:rsidR="00BE6283" w:rsidRPr="00656E61" w:rsidRDefault="00BE6283" w:rsidP="00BE6283">
            <w:pPr>
              <w:rPr>
                <w:b/>
                <w:bCs/>
              </w:rPr>
            </w:pPr>
          </w:p>
          <w:p w14:paraId="0585E42A" w14:textId="7C8EDB1F" w:rsidR="00BE6283" w:rsidRDefault="00BE6283" w:rsidP="00BE6283">
            <w:pPr>
              <w:rPr>
                <w:b/>
                <w:bCs/>
              </w:rPr>
            </w:pPr>
          </w:p>
          <w:p w14:paraId="3C298659" w14:textId="6706A8C8" w:rsidR="00BE6283" w:rsidRPr="00656E61" w:rsidRDefault="00BE6283" w:rsidP="00BE6283">
            <w:pPr>
              <w:rPr>
                <w:b/>
                <w:bCs/>
              </w:rPr>
            </w:pPr>
          </w:p>
        </w:tc>
        <w:tc>
          <w:tcPr>
            <w:tcW w:w="7512" w:type="dxa"/>
          </w:tcPr>
          <w:p w14:paraId="56AFB227" w14:textId="77777777" w:rsidR="00BE6283" w:rsidRPr="00434B70" w:rsidRDefault="00BE6283" w:rsidP="00BE6283">
            <w:pPr>
              <w:rPr>
                <w:b/>
                <w:bCs/>
              </w:rPr>
            </w:pPr>
            <w:r w:rsidRPr="00434B70">
              <w:rPr>
                <w:b/>
                <w:bCs/>
              </w:rPr>
              <w:t>REQUIRED READINGS:</w:t>
            </w:r>
          </w:p>
          <w:p w14:paraId="2D526334" w14:textId="77777777" w:rsidR="00BE6283" w:rsidRPr="00E96A11" w:rsidRDefault="00BE6283" w:rsidP="00BE6283">
            <w:pPr>
              <w:rPr>
                <w:bCs/>
              </w:rPr>
            </w:pPr>
          </w:p>
          <w:p w14:paraId="4CB47DFC" w14:textId="77777777" w:rsidR="00BE6283" w:rsidRPr="0078170A" w:rsidRDefault="00BE6283" w:rsidP="00BE6283">
            <w:pPr>
              <w:pStyle w:val="ListParagraph"/>
              <w:numPr>
                <w:ilvl w:val="0"/>
                <w:numId w:val="14"/>
              </w:numPr>
              <w:rPr>
                <w:rStyle w:val="docurl"/>
              </w:rPr>
            </w:pPr>
            <w:r w:rsidRPr="00AA2CCB">
              <w:rPr>
                <w:color w:val="333333"/>
                <w:shd w:val="clear" w:color="auto" w:fill="FFFFFF"/>
              </w:rPr>
              <w:t xml:space="preserve">Glover, J., &amp; Liebling, H. (2018). </w:t>
            </w:r>
            <w:r w:rsidRPr="00AA2CCB">
              <w:rPr>
                <w:b/>
                <w:bCs/>
                <w:color w:val="333333"/>
                <w:shd w:val="clear" w:color="auto" w:fill="FFFFFF"/>
              </w:rPr>
              <w:t>Persistence and Resistance of Harmful Traditional Practices (HTPs) Perpetuated against Girls in Africa and Asia</w:t>
            </w:r>
            <w:r w:rsidRPr="00AA2CCB">
              <w:rPr>
                <w:color w:val="333333"/>
                <w:shd w:val="clear" w:color="auto" w:fill="FFFFFF"/>
              </w:rPr>
              <w:t xml:space="preserve">. </w:t>
            </w:r>
            <w:r w:rsidRPr="00AA2CCB">
              <w:rPr>
                <w:i/>
                <w:iCs/>
                <w:color w:val="333333"/>
                <w:bdr w:val="none" w:sz="0" w:space="0" w:color="auto" w:frame="1"/>
              </w:rPr>
              <w:t>Journal of International Women's Studies</w:t>
            </w:r>
            <w:r w:rsidRPr="00AA2CCB">
              <w:rPr>
                <w:color w:val="333333"/>
                <w:shd w:val="clear" w:color="auto" w:fill="FFFFFF"/>
              </w:rPr>
              <w:t xml:space="preserve">, </w:t>
            </w:r>
            <w:r w:rsidRPr="00AA2CCB">
              <w:rPr>
                <w:i/>
                <w:iCs/>
                <w:color w:val="333333"/>
                <w:bdr w:val="none" w:sz="0" w:space="0" w:color="auto" w:frame="1"/>
              </w:rPr>
              <w:t>19</w:t>
            </w:r>
            <w:r w:rsidRPr="00AA2CCB">
              <w:rPr>
                <w:color w:val="333333"/>
                <w:shd w:val="clear" w:color="auto" w:fill="FFFFFF"/>
              </w:rPr>
              <w:t xml:space="preserve">(2), 44+. </w:t>
            </w:r>
            <w:hyperlink r:id="rId26" w:history="1">
              <w:r w:rsidRPr="005E34C6">
                <w:rPr>
                  <w:rStyle w:val="Hyperlink"/>
                </w:rPr>
                <w:t>https://link.gale.com/apps/doc/A552762967/AONE?u=uniwater&amp;sid=AONE&amp;xid=83f7edb7</w:t>
              </w:r>
            </w:hyperlink>
          </w:p>
          <w:p w14:paraId="4351F9F3" w14:textId="77777777" w:rsidR="00BE6283" w:rsidRPr="0078170A" w:rsidRDefault="00BE6283" w:rsidP="00BE6283">
            <w:pPr>
              <w:pStyle w:val="ListParagraph"/>
              <w:rPr>
                <w:rStyle w:val="docurl"/>
              </w:rPr>
            </w:pPr>
          </w:p>
          <w:p w14:paraId="3AEEAB1B" w14:textId="77777777" w:rsidR="00BE6283" w:rsidRPr="0078170A" w:rsidRDefault="00BE6283" w:rsidP="00BE6283">
            <w:pPr>
              <w:pStyle w:val="ListParagraph"/>
              <w:numPr>
                <w:ilvl w:val="0"/>
                <w:numId w:val="14"/>
              </w:numPr>
              <w:rPr>
                <w:sz w:val="28"/>
                <w:szCs w:val="28"/>
              </w:rPr>
            </w:pPr>
            <w:r w:rsidRPr="0078170A">
              <w:rPr>
                <w:color w:val="000000"/>
                <w:shd w:val="clear" w:color="auto" w:fill="FFFFFF"/>
              </w:rPr>
              <w:t>Wade, L. (2012). Learning from “</w:t>
            </w:r>
            <w:r w:rsidRPr="0078170A">
              <w:rPr>
                <w:b/>
                <w:bCs/>
                <w:color w:val="000000"/>
                <w:shd w:val="clear" w:color="auto" w:fill="FFFFFF"/>
              </w:rPr>
              <w:t>Female Genital Mutilation”: Lessons from 30 Years of Academic Discourse</w:t>
            </w:r>
            <w:r w:rsidRPr="0078170A">
              <w:rPr>
                <w:color w:val="000000"/>
                <w:shd w:val="clear" w:color="auto" w:fill="FFFFFF"/>
              </w:rPr>
              <w:t>.</w:t>
            </w:r>
            <w:r w:rsidRPr="0078170A">
              <w:rPr>
                <w:rStyle w:val="apple-converted-space"/>
                <w:color w:val="000000"/>
                <w:shd w:val="clear" w:color="auto" w:fill="FFFFFF"/>
              </w:rPr>
              <w:t> </w:t>
            </w:r>
            <w:r w:rsidRPr="0078170A">
              <w:rPr>
                <w:i/>
                <w:iCs/>
                <w:color w:val="000000"/>
              </w:rPr>
              <w:t>Ethnicities</w:t>
            </w:r>
            <w:r w:rsidRPr="0078170A">
              <w:rPr>
                <w:color w:val="000000"/>
                <w:shd w:val="clear" w:color="auto" w:fill="FFFFFF"/>
              </w:rPr>
              <w:t>,</w:t>
            </w:r>
            <w:r w:rsidRPr="0078170A">
              <w:rPr>
                <w:rStyle w:val="apple-converted-space"/>
                <w:color w:val="000000"/>
                <w:shd w:val="clear" w:color="auto" w:fill="FFFFFF"/>
              </w:rPr>
              <w:t> </w:t>
            </w:r>
            <w:r w:rsidRPr="0078170A">
              <w:rPr>
                <w:i/>
                <w:iCs/>
                <w:color w:val="000000"/>
              </w:rPr>
              <w:t>12</w:t>
            </w:r>
            <w:r w:rsidRPr="0078170A">
              <w:rPr>
                <w:color w:val="000000"/>
                <w:shd w:val="clear" w:color="auto" w:fill="FFFFFF"/>
              </w:rPr>
              <w:t>(1), 26–49. https://doi.org/10.1177/1468796811419603</w:t>
            </w:r>
          </w:p>
          <w:p w14:paraId="7126FDC0" w14:textId="77777777" w:rsidR="00BE6283" w:rsidRDefault="00BE6283" w:rsidP="00BE6283">
            <w:pPr>
              <w:rPr>
                <w:bCs/>
              </w:rPr>
            </w:pPr>
          </w:p>
          <w:p w14:paraId="7FE1B1DF" w14:textId="77777777" w:rsidR="00BE6283" w:rsidRDefault="00BE6283" w:rsidP="00BE6283">
            <w:pPr>
              <w:rPr>
                <w:b/>
                <w:bCs/>
              </w:rPr>
            </w:pPr>
            <w:r w:rsidRPr="0061365E">
              <w:rPr>
                <w:b/>
                <w:bCs/>
              </w:rPr>
              <w:lastRenderedPageBreak/>
              <w:t xml:space="preserve">ADDITIONAL </w:t>
            </w:r>
            <w:r>
              <w:rPr>
                <w:b/>
                <w:bCs/>
              </w:rPr>
              <w:t>WATCHING/LISTENING</w:t>
            </w:r>
            <w:r w:rsidRPr="0061365E">
              <w:rPr>
                <w:b/>
                <w:bCs/>
              </w:rPr>
              <w:t>:</w:t>
            </w:r>
          </w:p>
          <w:p w14:paraId="1071B36C" w14:textId="77777777" w:rsidR="00BE6283" w:rsidRDefault="00BE6283" w:rsidP="00BE6283">
            <w:pPr>
              <w:rPr>
                <w:bCs/>
              </w:rPr>
            </w:pPr>
          </w:p>
          <w:p w14:paraId="74FCF000" w14:textId="77777777" w:rsidR="00BE6283" w:rsidRPr="00C13225" w:rsidRDefault="00BE6283" w:rsidP="00BE6283">
            <w:pPr>
              <w:pStyle w:val="ListParagraph"/>
              <w:numPr>
                <w:ilvl w:val="0"/>
                <w:numId w:val="14"/>
              </w:numPr>
            </w:pPr>
            <w:r w:rsidRPr="00BD5E87">
              <w:rPr>
                <w:b/>
                <w:bCs/>
              </w:rPr>
              <w:t xml:space="preserve">The girl who said no to FGM </w:t>
            </w:r>
          </w:p>
          <w:p w14:paraId="269031ED" w14:textId="77777777" w:rsidR="00BE6283" w:rsidRPr="00A044B2" w:rsidRDefault="00BE6283" w:rsidP="00BE6283">
            <w:pPr>
              <w:pStyle w:val="ListParagraph"/>
            </w:pPr>
            <w:r w:rsidRPr="00A044B2">
              <w:t>(18:53 mins)</w:t>
            </w:r>
          </w:p>
          <w:p w14:paraId="53B6FE32" w14:textId="7FEC89DB" w:rsidR="00BE6283" w:rsidRPr="00A044B2" w:rsidRDefault="00BE6283" w:rsidP="00A044B2">
            <w:pPr>
              <w:pStyle w:val="ListParagraph"/>
            </w:pPr>
            <w:proofErr w:type="spellStart"/>
            <w:r w:rsidRPr="00A044B2">
              <w:t>Youtube</w:t>
            </w:r>
            <w:proofErr w:type="spellEnd"/>
            <w:r w:rsidRPr="00A044B2">
              <w:t xml:space="preserve">: </w:t>
            </w:r>
            <w:hyperlink r:id="rId27" w:history="1">
              <w:r w:rsidR="00A044B2" w:rsidRPr="00A044B2">
                <w:rPr>
                  <w:rStyle w:val="Hyperlink"/>
                </w:rPr>
                <w:t>https://www.youtube.com/watch?v=rMCQk-TBHPA</w:t>
              </w:r>
            </w:hyperlink>
          </w:p>
          <w:p w14:paraId="2013E7C4" w14:textId="3FA90F26" w:rsidR="00A044B2" w:rsidRPr="009E13AD" w:rsidRDefault="00A044B2" w:rsidP="00A044B2">
            <w:pPr>
              <w:pStyle w:val="ListParagraph"/>
            </w:pPr>
          </w:p>
        </w:tc>
      </w:tr>
      <w:tr w:rsidR="00BE6283" w:rsidRPr="00656E61" w14:paraId="1ADC13DB" w14:textId="77777777" w:rsidTr="00FE0758">
        <w:tc>
          <w:tcPr>
            <w:tcW w:w="1838" w:type="dxa"/>
          </w:tcPr>
          <w:p w14:paraId="00D327C3" w14:textId="77777777" w:rsidR="00A044B2" w:rsidRDefault="00BE6283" w:rsidP="00BE6283">
            <w:pPr>
              <w:rPr>
                <w:b/>
                <w:bCs/>
              </w:rPr>
            </w:pPr>
            <w:r w:rsidRPr="00656E61">
              <w:rPr>
                <w:b/>
                <w:bCs/>
              </w:rPr>
              <w:lastRenderedPageBreak/>
              <w:t xml:space="preserve">Week 8: </w:t>
            </w:r>
          </w:p>
          <w:p w14:paraId="5F5C1F17" w14:textId="562C695E" w:rsidR="00BE6283" w:rsidRPr="00656E61" w:rsidRDefault="00BE6283" w:rsidP="00BE6283">
            <w:pPr>
              <w:rPr>
                <w:b/>
                <w:bCs/>
              </w:rPr>
            </w:pPr>
            <w:r w:rsidRPr="00656E61">
              <w:rPr>
                <w:b/>
                <w:bCs/>
              </w:rPr>
              <w:t>Mar 1</w:t>
            </w:r>
            <w:r w:rsidRPr="00656E61">
              <w:rPr>
                <w:b/>
                <w:bCs/>
                <w:vertAlign w:val="superscript"/>
              </w:rPr>
              <w:t>st</w:t>
            </w:r>
          </w:p>
          <w:p w14:paraId="6C2194D0" w14:textId="77777777" w:rsidR="00BE6283" w:rsidRDefault="00BE6283" w:rsidP="00BE6283">
            <w:pPr>
              <w:rPr>
                <w:b/>
                <w:bCs/>
              </w:rPr>
            </w:pPr>
          </w:p>
          <w:p w14:paraId="6B92CD20" w14:textId="77777777" w:rsidR="00BE6283" w:rsidRDefault="00BE6283" w:rsidP="00BE6283">
            <w:r w:rsidRPr="00691387">
              <w:t>Biopolitics of Beauty</w:t>
            </w:r>
            <w:r>
              <w:t>:</w:t>
            </w:r>
          </w:p>
          <w:p w14:paraId="79D43DA2" w14:textId="77777777" w:rsidR="00BE6283" w:rsidRPr="003C7594" w:rsidRDefault="00BE6283" w:rsidP="00BE6283">
            <w:pPr>
              <w:rPr>
                <w:i/>
                <w:iCs/>
              </w:rPr>
            </w:pPr>
            <w:r w:rsidRPr="003C7594">
              <w:rPr>
                <w:i/>
                <w:iCs/>
              </w:rPr>
              <w:t>Brazil</w:t>
            </w:r>
          </w:p>
          <w:p w14:paraId="727D6B6C" w14:textId="3D71B817" w:rsidR="00BE6283" w:rsidRPr="00656E61" w:rsidRDefault="00BE6283" w:rsidP="00BE6283">
            <w:pPr>
              <w:rPr>
                <w:b/>
                <w:bCs/>
              </w:rPr>
            </w:pPr>
          </w:p>
        </w:tc>
        <w:tc>
          <w:tcPr>
            <w:tcW w:w="7512" w:type="dxa"/>
          </w:tcPr>
          <w:p w14:paraId="7B4BF6D4" w14:textId="77777777" w:rsidR="00BE6283" w:rsidRPr="00C0353C" w:rsidRDefault="00BE6283" w:rsidP="00BE6283">
            <w:pPr>
              <w:pStyle w:val="ListParagraph"/>
              <w:numPr>
                <w:ilvl w:val="0"/>
                <w:numId w:val="14"/>
              </w:numPr>
            </w:pPr>
            <w:proofErr w:type="spellStart"/>
            <w:r w:rsidRPr="00C0353C">
              <w:rPr>
                <w:color w:val="212529"/>
                <w:shd w:val="clear" w:color="auto" w:fill="FFFFFF"/>
              </w:rPr>
              <w:t>Jarrin</w:t>
            </w:r>
            <w:proofErr w:type="spellEnd"/>
            <w:r w:rsidRPr="00C0353C">
              <w:rPr>
                <w:color w:val="212529"/>
                <w:shd w:val="clear" w:color="auto" w:fill="FFFFFF"/>
              </w:rPr>
              <w:t>, A. (2015). Towards a Biopolitics of Beauty: Eugenics, Aesthetic Hierarchies and Plastic Surgery in Brazil.</w:t>
            </w:r>
            <w:r w:rsidRPr="00C0353C">
              <w:rPr>
                <w:rStyle w:val="apple-converted-space"/>
                <w:color w:val="212529"/>
                <w:shd w:val="clear" w:color="auto" w:fill="FFFFFF"/>
              </w:rPr>
              <w:t> </w:t>
            </w:r>
            <w:r w:rsidRPr="00C0353C">
              <w:rPr>
                <w:i/>
                <w:iCs/>
                <w:color w:val="212529"/>
              </w:rPr>
              <w:t>Journal of Latin American Cultural Studies</w:t>
            </w:r>
            <w:r w:rsidRPr="00C0353C">
              <w:rPr>
                <w:color w:val="212529"/>
                <w:shd w:val="clear" w:color="auto" w:fill="FFFFFF"/>
              </w:rPr>
              <w:t>,</w:t>
            </w:r>
            <w:r w:rsidRPr="00C0353C">
              <w:rPr>
                <w:rStyle w:val="apple-converted-space"/>
                <w:color w:val="212529"/>
                <w:shd w:val="clear" w:color="auto" w:fill="FFFFFF"/>
              </w:rPr>
              <w:t> </w:t>
            </w:r>
            <w:r w:rsidRPr="00C0353C">
              <w:rPr>
                <w:i/>
                <w:iCs/>
                <w:color w:val="212529"/>
              </w:rPr>
              <w:t>24</w:t>
            </w:r>
            <w:r w:rsidRPr="00C0353C">
              <w:rPr>
                <w:color w:val="212529"/>
                <w:shd w:val="clear" w:color="auto" w:fill="FFFFFF"/>
              </w:rPr>
              <w:t xml:space="preserve">(4), 535–552. </w:t>
            </w:r>
            <w:hyperlink r:id="rId28" w:history="1">
              <w:r w:rsidRPr="005E34C6">
                <w:rPr>
                  <w:rStyle w:val="Hyperlink"/>
                  <w:shd w:val="clear" w:color="auto" w:fill="FFFFFF"/>
                </w:rPr>
                <w:t>https://doi.org/10.1080/13569325.2015.1091296</w:t>
              </w:r>
            </w:hyperlink>
          </w:p>
          <w:p w14:paraId="2C49231B" w14:textId="77777777" w:rsidR="00BE6283" w:rsidRPr="00C0353C" w:rsidRDefault="00BE6283" w:rsidP="00BE6283">
            <w:pPr>
              <w:pStyle w:val="ListParagraph"/>
            </w:pPr>
          </w:p>
          <w:p w14:paraId="0CD49D40" w14:textId="77777777" w:rsidR="00BE6283" w:rsidRPr="00C0353C" w:rsidRDefault="00BE6283" w:rsidP="00BE6283">
            <w:pPr>
              <w:pStyle w:val="ListParagraph"/>
              <w:numPr>
                <w:ilvl w:val="0"/>
                <w:numId w:val="14"/>
              </w:numPr>
            </w:pPr>
            <w:r w:rsidRPr="00C0353C">
              <w:rPr>
                <w:color w:val="000000"/>
                <w:shd w:val="clear" w:color="auto" w:fill="FFFFFF"/>
              </w:rPr>
              <w:t>Edmonds, A. (2011). “Almost Invisible Scars”: Medical Tourism to Brazil.</w:t>
            </w:r>
            <w:r w:rsidRPr="00C0353C">
              <w:rPr>
                <w:rStyle w:val="apple-converted-space"/>
                <w:color w:val="000000"/>
                <w:shd w:val="clear" w:color="auto" w:fill="FFFFFF"/>
              </w:rPr>
              <w:t> </w:t>
            </w:r>
            <w:r w:rsidRPr="00C0353C">
              <w:rPr>
                <w:i/>
                <w:iCs/>
                <w:color w:val="000000"/>
              </w:rPr>
              <w:t>Signs: Journal of Women in Culture and Society</w:t>
            </w:r>
            <w:r w:rsidRPr="00C0353C">
              <w:rPr>
                <w:color w:val="000000"/>
                <w:shd w:val="clear" w:color="auto" w:fill="FFFFFF"/>
              </w:rPr>
              <w:t>,</w:t>
            </w:r>
            <w:r w:rsidRPr="00C0353C">
              <w:rPr>
                <w:rStyle w:val="apple-converted-space"/>
                <w:color w:val="000000"/>
                <w:shd w:val="clear" w:color="auto" w:fill="FFFFFF"/>
              </w:rPr>
              <w:t> </w:t>
            </w:r>
            <w:r w:rsidRPr="00C0353C">
              <w:rPr>
                <w:i/>
                <w:iCs/>
                <w:color w:val="000000"/>
              </w:rPr>
              <w:t>36</w:t>
            </w:r>
            <w:r w:rsidRPr="00C0353C">
              <w:rPr>
                <w:color w:val="000000"/>
                <w:shd w:val="clear" w:color="auto" w:fill="FFFFFF"/>
              </w:rPr>
              <w:t>(2), 297–302. https://doi.org/10.1086/655909</w:t>
            </w:r>
          </w:p>
          <w:p w14:paraId="53A15CF1" w14:textId="77777777" w:rsidR="00BE6283" w:rsidRDefault="00BE6283" w:rsidP="00BE6283">
            <w:pPr>
              <w:pStyle w:val="ListParagraph"/>
            </w:pPr>
          </w:p>
          <w:p w14:paraId="70776855" w14:textId="77777777" w:rsidR="00BE6283" w:rsidRDefault="00BE6283" w:rsidP="00BE6283">
            <w:pPr>
              <w:rPr>
                <w:b/>
                <w:bCs/>
              </w:rPr>
            </w:pPr>
            <w:r w:rsidRPr="0061365E">
              <w:rPr>
                <w:b/>
                <w:bCs/>
              </w:rPr>
              <w:t xml:space="preserve">ADDITIONAL </w:t>
            </w:r>
            <w:r>
              <w:rPr>
                <w:b/>
                <w:bCs/>
              </w:rPr>
              <w:t>WATCHING/LISTENING</w:t>
            </w:r>
            <w:r w:rsidRPr="0061365E">
              <w:rPr>
                <w:b/>
                <w:bCs/>
              </w:rPr>
              <w:t>:</w:t>
            </w:r>
          </w:p>
          <w:p w14:paraId="2FEA7C77" w14:textId="77777777" w:rsidR="00BE6283" w:rsidRPr="0061365E" w:rsidRDefault="00BE6283" w:rsidP="00BE6283">
            <w:pPr>
              <w:rPr>
                <w:b/>
                <w:bCs/>
              </w:rPr>
            </w:pPr>
          </w:p>
          <w:p w14:paraId="51B5B72C" w14:textId="77777777" w:rsidR="00BE6283" w:rsidRDefault="00BE6283" w:rsidP="00BE6283">
            <w:pPr>
              <w:pStyle w:val="Heading1"/>
              <w:numPr>
                <w:ilvl w:val="0"/>
                <w:numId w:val="15"/>
              </w:numPr>
              <w:spacing w:before="0" w:beforeAutospacing="0" w:after="0" w:afterAutospacing="0"/>
              <w:outlineLvl w:val="0"/>
              <w:rPr>
                <w:b w:val="0"/>
                <w:bCs w:val="0"/>
                <w:sz w:val="24"/>
                <w:szCs w:val="24"/>
              </w:rPr>
            </w:pPr>
            <w:r w:rsidRPr="0061365E">
              <w:rPr>
                <w:b w:val="0"/>
                <w:bCs w:val="0"/>
                <w:sz w:val="24"/>
                <w:szCs w:val="24"/>
              </w:rPr>
              <w:t xml:space="preserve">Alvaro </w:t>
            </w:r>
            <w:proofErr w:type="spellStart"/>
            <w:r w:rsidRPr="0061365E">
              <w:rPr>
                <w:b w:val="0"/>
                <w:bCs w:val="0"/>
                <w:sz w:val="24"/>
                <w:szCs w:val="24"/>
              </w:rPr>
              <w:t>Jarrín</w:t>
            </w:r>
            <w:proofErr w:type="spellEnd"/>
            <w:r w:rsidRPr="0061365E">
              <w:rPr>
                <w:b w:val="0"/>
                <w:bCs w:val="0"/>
                <w:sz w:val="24"/>
                <w:szCs w:val="24"/>
              </w:rPr>
              <w:t xml:space="preserve">: </w:t>
            </w:r>
            <w:r w:rsidRPr="0061365E">
              <w:rPr>
                <w:sz w:val="24"/>
                <w:szCs w:val="24"/>
              </w:rPr>
              <w:t>The Biopolitics of Beauty: Cosmetic Citizenship and Affective Capital in Brazil</w:t>
            </w:r>
            <w:r>
              <w:rPr>
                <w:b w:val="0"/>
                <w:bCs w:val="0"/>
                <w:sz w:val="24"/>
                <w:szCs w:val="24"/>
              </w:rPr>
              <w:t>. Institute for the Study of Societal Issues (ISSI) at UC Berkeley.</w:t>
            </w:r>
            <w:r w:rsidRPr="0061365E">
              <w:rPr>
                <w:b w:val="0"/>
                <w:bCs w:val="0"/>
                <w:sz w:val="24"/>
                <w:szCs w:val="24"/>
              </w:rPr>
              <w:t xml:space="preserve"> </w:t>
            </w:r>
            <w:r>
              <w:rPr>
                <w:b w:val="0"/>
                <w:bCs w:val="0"/>
                <w:sz w:val="24"/>
                <w:szCs w:val="24"/>
              </w:rPr>
              <w:t>(Presentation: 50 mins)</w:t>
            </w:r>
          </w:p>
          <w:p w14:paraId="129A329B" w14:textId="725494C3" w:rsidR="00BE6283" w:rsidRDefault="00BE6283" w:rsidP="00BE6283">
            <w:pPr>
              <w:ind w:left="720"/>
            </w:pPr>
            <w:proofErr w:type="spellStart"/>
            <w:r>
              <w:t>Youtube</w:t>
            </w:r>
            <w:proofErr w:type="spellEnd"/>
            <w:r>
              <w:t xml:space="preserve">: </w:t>
            </w:r>
            <w:hyperlink r:id="rId29" w:history="1">
              <w:r w:rsidR="00A044B2" w:rsidRPr="005E34C6">
                <w:rPr>
                  <w:rStyle w:val="Hyperlink"/>
                </w:rPr>
                <w:t>https://youtu.be/W5Ry221pO3o</w:t>
              </w:r>
            </w:hyperlink>
          </w:p>
          <w:p w14:paraId="508F0C6A" w14:textId="3071A380" w:rsidR="00A044B2" w:rsidRPr="00656E61" w:rsidRDefault="00A044B2" w:rsidP="00BE6283">
            <w:pPr>
              <w:ind w:left="720"/>
            </w:pPr>
          </w:p>
        </w:tc>
      </w:tr>
      <w:tr w:rsidR="00BE6283" w:rsidRPr="00656E61" w14:paraId="46F7712C" w14:textId="77777777" w:rsidTr="00FE0758">
        <w:tc>
          <w:tcPr>
            <w:tcW w:w="1838" w:type="dxa"/>
          </w:tcPr>
          <w:p w14:paraId="0B7E1EDA" w14:textId="77777777" w:rsidR="003C7594" w:rsidRDefault="00BE6283" w:rsidP="00BE6283">
            <w:pPr>
              <w:rPr>
                <w:b/>
                <w:bCs/>
              </w:rPr>
            </w:pPr>
            <w:r w:rsidRPr="00656E61">
              <w:rPr>
                <w:b/>
                <w:bCs/>
              </w:rPr>
              <w:t xml:space="preserve">Week 9: </w:t>
            </w:r>
          </w:p>
          <w:p w14:paraId="6CBDB545" w14:textId="77B23A93" w:rsidR="00BE6283" w:rsidRDefault="00BE6283" w:rsidP="00BE6283">
            <w:pPr>
              <w:rPr>
                <w:b/>
                <w:bCs/>
                <w:vertAlign w:val="superscript"/>
              </w:rPr>
            </w:pPr>
            <w:r w:rsidRPr="00656E61">
              <w:rPr>
                <w:b/>
                <w:bCs/>
              </w:rPr>
              <w:t>Mar 8</w:t>
            </w:r>
            <w:r w:rsidRPr="00656E61">
              <w:rPr>
                <w:b/>
                <w:bCs/>
                <w:vertAlign w:val="superscript"/>
              </w:rPr>
              <w:t>th</w:t>
            </w:r>
          </w:p>
          <w:p w14:paraId="40FBAC06" w14:textId="12032B76" w:rsidR="00BE6283" w:rsidRDefault="00BE6283" w:rsidP="00BE6283">
            <w:pPr>
              <w:rPr>
                <w:b/>
                <w:bCs/>
                <w:vertAlign w:val="superscript"/>
              </w:rPr>
            </w:pPr>
          </w:p>
          <w:p w14:paraId="05D74D4D" w14:textId="50A938A5" w:rsidR="00BE6283" w:rsidRDefault="003C7594" w:rsidP="00BE6283">
            <w:r>
              <w:t>Ethical Business or Business ethics?</w:t>
            </w:r>
          </w:p>
          <w:p w14:paraId="06EEF4A0" w14:textId="77777777" w:rsidR="003C7594" w:rsidRDefault="003C7594" w:rsidP="00BE6283"/>
          <w:p w14:paraId="07F267C4" w14:textId="2722AE15" w:rsidR="003C7594" w:rsidRPr="003C7594" w:rsidRDefault="003C7594" w:rsidP="00BE6283">
            <w:pPr>
              <w:rPr>
                <w:i/>
                <w:iCs/>
              </w:rPr>
            </w:pPr>
            <w:r w:rsidRPr="003C7594">
              <w:rPr>
                <w:i/>
                <w:iCs/>
              </w:rPr>
              <w:t>China &amp; Elsewhere</w:t>
            </w:r>
          </w:p>
        </w:tc>
        <w:tc>
          <w:tcPr>
            <w:tcW w:w="7512" w:type="dxa"/>
          </w:tcPr>
          <w:p w14:paraId="52A8DD0D" w14:textId="7844FC46" w:rsidR="00BE6283" w:rsidRDefault="00BE6283" w:rsidP="00BE6283">
            <w:pPr>
              <w:rPr>
                <w:b/>
                <w:bCs/>
              </w:rPr>
            </w:pPr>
            <w:r w:rsidRPr="00434B70">
              <w:rPr>
                <w:b/>
                <w:bCs/>
              </w:rPr>
              <w:t>REQUIRED READINGS:</w:t>
            </w:r>
          </w:p>
          <w:p w14:paraId="098EF6D4" w14:textId="77777777" w:rsidR="003C7594" w:rsidRPr="00434B70" w:rsidRDefault="003C7594" w:rsidP="00BE6283">
            <w:pPr>
              <w:rPr>
                <w:b/>
                <w:bCs/>
              </w:rPr>
            </w:pPr>
          </w:p>
          <w:p w14:paraId="3613ECEF" w14:textId="506C540D" w:rsidR="00BE6283" w:rsidRPr="003C7594" w:rsidRDefault="00BE6283" w:rsidP="003C7594">
            <w:pPr>
              <w:pStyle w:val="ListParagraph"/>
              <w:numPr>
                <w:ilvl w:val="0"/>
                <w:numId w:val="15"/>
              </w:numPr>
              <w:rPr>
                <w:rStyle w:val="apple-converted-space"/>
                <w:color w:val="000000"/>
                <w:shd w:val="clear" w:color="auto" w:fill="FFFFFF"/>
              </w:rPr>
            </w:pPr>
            <w:r w:rsidRPr="003C7594">
              <w:rPr>
                <w:color w:val="000000"/>
                <w:shd w:val="clear" w:color="auto" w:fill="FFFFFF"/>
              </w:rPr>
              <w:t xml:space="preserve">Pitta, F. (1999). </w:t>
            </w:r>
            <w:r w:rsidRPr="003C7594">
              <w:rPr>
                <w:b/>
                <w:bCs/>
                <w:color w:val="000000"/>
                <w:shd w:val="clear" w:color="auto" w:fill="FFFFFF"/>
              </w:rPr>
              <w:t>Ethical issues across cultures: managing the differing perspectives of China and the USA</w:t>
            </w:r>
            <w:r w:rsidRPr="003C7594">
              <w:rPr>
                <w:color w:val="000000"/>
                <w:shd w:val="clear" w:color="auto" w:fill="FFFFFF"/>
              </w:rPr>
              <w:t>.</w:t>
            </w:r>
            <w:r w:rsidRPr="003C7594">
              <w:rPr>
                <w:rStyle w:val="apple-converted-space"/>
                <w:color w:val="000000"/>
                <w:shd w:val="clear" w:color="auto" w:fill="FFFFFF"/>
              </w:rPr>
              <w:t> </w:t>
            </w:r>
            <w:r w:rsidRPr="003C7594">
              <w:rPr>
                <w:i/>
                <w:iCs/>
                <w:color w:val="000000"/>
              </w:rPr>
              <w:t>The Journal of Consumer Marketing</w:t>
            </w:r>
            <w:r w:rsidRPr="003C7594">
              <w:rPr>
                <w:color w:val="000000"/>
                <w:shd w:val="clear" w:color="auto" w:fill="FFFFFF"/>
              </w:rPr>
              <w:t>,</w:t>
            </w:r>
            <w:r w:rsidRPr="003C7594">
              <w:rPr>
                <w:rStyle w:val="apple-converted-space"/>
                <w:color w:val="000000"/>
                <w:shd w:val="clear" w:color="auto" w:fill="FFFFFF"/>
              </w:rPr>
              <w:t> </w:t>
            </w:r>
            <w:r w:rsidRPr="003C7594">
              <w:rPr>
                <w:i/>
                <w:iCs/>
                <w:color w:val="000000"/>
              </w:rPr>
              <w:t>16</w:t>
            </w:r>
            <w:r w:rsidRPr="003C7594">
              <w:rPr>
                <w:color w:val="000000"/>
                <w:shd w:val="clear" w:color="auto" w:fill="FFFFFF"/>
              </w:rPr>
              <w:t>(3), 240</w:t>
            </w:r>
            <w:r w:rsidR="003C7594" w:rsidRPr="003C7594">
              <w:rPr>
                <w:color w:val="000000"/>
                <w:shd w:val="clear" w:color="auto" w:fill="FFFFFF"/>
              </w:rPr>
              <w:t xml:space="preserve">-256. </w:t>
            </w:r>
            <w:hyperlink r:id="rId30" w:history="1">
              <w:r w:rsidR="003C7594" w:rsidRPr="003C7594">
                <w:rPr>
                  <w:rStyle w:val="Hyperlink"/>
                  <w:shd w:val="clear" w:color="auto" w:fill="FFFFFF"/>
                </w:rPr>
                <w:t>http://home.ubalt.edu/ntsbpitt/ethics.pdf</w:t>
              </w:r>
            </w:hyperlink>
          </w:p>
          <w:p w14:paraId="66E14ED6" w14:textId="4C9FDDFC" w:rsidR="003C7594" w:rsidRDefault="003C7594" w:rsidP="00BE6283">
            <w:pPr>
              <w:ind w:left="720"/>
              <w:rPr>
                <w:rStyle w:val="apple-converted-space"/>
                <w:color w:val="000000"/>
                <w:shd w:val="clear" w:color="auto" w:fill="FFFFFF"/>
              </w:rPr>
            </w:pPr>
          </w:p>
          <w:p w14:paraId="59A49E9F" w14:textId="24869496" w:rsidR="00BE6283" w:rsidRPr="003C7594" w:rsidRDefault="003C7594" w:rsidP="003C7594">
            <w:pPr>
              <w:pStyle w:val="ListParagraph"/>
              <w:numPr>
                <w:ilvl w:val="0"/>
                <w:numId w:val="15"/>
              </w:numPr>
            </w:pPr>
            <w:r w:rsidRPr="003C7594">
              <w:rPr>
                <w:color w:val="000000"/>
                <w:shd w:val="clear" w:color="auto" w:fill="FFFFFF"/>
              </w:rPr>
              <w:t xml:space="preserve">Buller, K. (2000). </w:t>
            </w:r>
            <w:r w:rsidRPr="003C7594">
              <w:rPr>
                <w:b/>
                <w:bCs/>
                <w:color w:val="000000"/>
                <w:shd w:val="clear" w:color="auto" w:fill="FFFFFF"/>
              </w:rPr>
              <w:t>When ethics collide: Managing conflicts across cultures.</w:t>
            </w:r>
            <w:r w:rsidRPr="003C7594">
              <w:rPr>
                <w:rStyle w:val="apple-converted-space"/>
                <w:b/>
                <w:bCs/>
                <w:color w:val="000000"/>
                <w:shd w:val="clear" w:color="auto" w:fill="FFFFFF"/>
              </w:rPr>
              <w:t> </w:t>
            </w:r>
            <w:r w:rsidRPr="003C7594">
              <w:rPr>
                <w:i/>
                <w:iCs/>
                <w:color w:val="000000"/>
              </w:rPr>
              <w:t>Organizational Dynamics</w:t>
            </w:r>
            <w:r w:rsidRPr="003C7594">
              <w:rPr>
                <w:color w:val="000000"/>
                <w:shd w:val="clear" w:color="auto" w:fill="FFFFFF"/>
              </w:rPr>
              <w:t>,</w:t>
            </w:r>
            <w:r w:rsidRPr="003C7594">
              <w:rPr>
                <w:rStyle w:val="apple-converted-space"/>
                <w:color w:val="000000"/>
                <w:shd w:val="clear" w:color="auto" w:fill="FFFFFF"/>
              </w:rPr>
              <w:t> </w:t>
            </w:r>
            <w:r w:rsidRPr="003C7594">
              <w:rPr>
                <w:i/>
                <w:iCs/>
                <w:color w:val="000000"/>
              </w:rPr>
              <w:t>28</w:t>
            </w:r>
            <w:r w:rsidRPr="003C7594">
              <w:rPr>
                <w:color w:val="000000"/>
                <w:shd w:val="clear" w:color="auto" w:fill="FFFFFF"/>
              </w:rPr>
              <w:t xml:space="preserve">(4), 52–66. </w:t>
            </w:r>
            <w:hyperlink r:id="rId31" w:history="1">
              <w:r w:rsidRPr="005E34C6">
                <w:rPr>
                  <w:rStyle w:val="Hyperlink"/>
                  <w:shd w:val="clear" w:color="auto" w:fill="FFFFFF"/>
                </w:rPr>
                <w:t>https://doi.org/10.1016/S0090-2616(00)00005-X</w:t>
              </w:r>
            </w:hyperlink>
            <w:r>
              <w:rPr>
                <w:color w:val="000000"/>
                <w:shd w:val="clear" w:color="auto" w:fill="FFFFFF"/>
              </w:rPr>
              <w:t xml:space="preserve"> </w:t>
            </w:r>
          </w:p>
          <w:p w14:paraId="79838E4F" w14:textId="4CC917D8" w:rsidR="003C7594" w:rsidRPr="00BE6283" w:rsidRDefault="003C7594" w:rsidP="003C7594">
            <w:pPr>
              <w:pStyle w:val="ListParagraph"/>
            </w:pPr>
          </w:p>
        </w:tc>
      </w:tr>
      <w:tr w:rsidR="00BE6283" w:rsidRPr="00656E61" w14:paraId="5879AFAB" w14:textId="77777777" w:rsidTr="00BE6283">
        <w:trPr>
          <w:trHeight w:val="219"/>
        </w:trPr>
        <w:tc>
          <w:tcPr>
            <w:tcW w:w="9350" w:type="dxa"/>
            <w:gridSpan w:val="2"/>
            <w:shd w:val="clear" w:color="auto" w:fill="D9D9D9" w:themeFill="background1" w:themeFillShade="D9"/>
            <w:vAlign w:val="center"/>
          </w:tcPr>
          <w:p w14:paraId="74203565" w14:textId="77777777" w:rsidR="00BE6283" w:rsidRDefault="00BE6283" w:rsidP="00BE6283">
            <w:pPr>
              <w:pStyle w:val="Heading1"/>
              <w:spacing w:before="0" w:beforeAutospacing="0" w:after="0" w:afterAutospacing="0"/>
              <w:jc w:val="center"/>
              <w:outlineLvl w:val="0"/>
              <w:rPr>
                <w:sz w:val="24"/>
                <w:szCs w:val="24"/>
              </w:rPr>
            </w:pPr>
            <w:r w:rsidRPr="00BE6283">
              <w:rPr>
                <w:sz w:val="24"/>
                <w:szCs w:val="24"/>
              </w:rPr>
              <w:t>ASSIGNMENT 3</w:t>
            </w:r>
            <w:r>
              <w:rPr>
                <w:sz w:val="24"/>
                <w:szCs w:val="24"/>
              </w:rPr>
              <w:t xml:space="preserve">: </w:t>
            </w:r>
          </w:p>
          <w:p w14:paraId="0A862D04" w14:textId="2FDDD58E" w:rsidR="00A044B2" w:rsidRPr="00BE6283" w:rsidRDefault="00A044B2" w:rsidP="00BE6283">
            <w:pPr>
              <w:pStyle w:val="Heading1"/>
              <w:spacing w:before="0" w:beforeAutospacing="0" w:after="0" w:afterAutospacing="0"/>
              <w:jc w:val="center"/>
              <w:outlineLvl w:val="0"/>
              <w:rPr>
                <w:sz w:val="24"/>
                <w:szCs w:val="24"/>
              </w:rPr>
            </w:pPr>
            <w:r>
              <w:rPr>
                <w:sz w:val="24"/>
                <w:szCs w:val="24"/>
              </w:rPr>
              <w:t>Compare &amp; Contrast (15%)</w:t>
            </w:r>
          </w:p>
        </w:tc>
      </w:tr>
      <w:tr w:rsidR="00BE6283" w:rsidRPr="00656E61" w14:paraId="596A9D23" w14:textId="77777777" w:rsidTr="00FE0758">
        <w:tc>
          <w:tcPr>
            <w:tcW w:w="9350" w:type="dxa"/>
            <w:gridSpan w:val="2"/>
            <w:shd w:val="clear" w:color="auto" w:fill="BFBFBF" w:themeFill="background1" w:themeFillShade="BF"/>
          </w:tcPr>
          <w:p w14:paraId="3B662A1E" w14:textId="37E70FFA" w:rsidR="00BE6283" w:rsidRPr="00B63FDE" w:rsidRDefault="00BE6283" w:rsidP="00BE6283">
            <w:pPr>
              <w:jc w:val="center"/>
              <w:rPr>
                <w:b/>
                <w:bCs/>
              </w:rPr>
            </w:pPr>
            <w:r>
              <w:rPr>
                <w:b/>
                <w:bCs/>
              </w:rPr>
              <w:t xml:space="preserve">PART 3: </w:t>
            </w:r>
            <w:r w:rsidR="009C1C97">
              <w:rPr>
                <w:b/>
                <w:bCs/>
              </w:rPr>
              <w:t>SCANDALS AND CONTROVERSIES</w:t>
            </w:r>
          </w:p>
        </w:tc>
      </w:tr>
      <w:tr w:rsidR="00BE6283" w:rsidRPr="00656E61" w14:paraId="20191968" w14:textId="77777777" w:rsidTr="00FE0758">
        <w:tc>
          <w:tcPr>
            <w:tcW w:w="1838" w:type="dxa"/>
          </w:tcPr>
          <w:p w14:paraId="6C8B7DF7" w14:textId="77777777" w:rsidR="00BE6283" w:rsidRPr="00656E61" w:rsidRDefault="00BE6283" w:rsidP="00BE6283">
            <w:pPr>
              <w:rPr>
                <w:b/>
                <w:bCs/>
              </w:rPr>
            </w:pPr>
            <w:r w:rsidRPr="00656E61">
              <w:rPr>
                <w:b/>
                <w:bCs/>
              </w:rPr>
              <w:t>Week 10: Mar 15</w:t>
            </w:r>
            <w:r w:rsidRPr="00656E61">
              <w:rPr>
                <w:b/>
                <w:bCs/>
                <w:vertAlign w:val="superscript"/>
              </w:rPr>
              <w:t>th</w:t>
            </w:r>
          </w:p>
          <w:p w14:paraId="3D2E924A" w14:textId="77777777" w:rsidR="00BE6283" w:rsidRDefault="00BE6283" w:rsidP="00BE6283">
            <w:pPr>
              <w:rPr>
                <w:b/>
                <w:bCs/>
              </w:rPr>
            </w:pPr>
          </w:p>
          <w:p w14:paraId="58F806D6" w14:textId="77777777" w:rsidR="00BE6283" w:rsidRPr="00691387" w:rsidRDefault="00BE6283" w:rsidP="00BE6283">
            <w:r w:rsidRPr="00691387">
              <w:t>Power and Gender</w:t>
            </w:r>
          </w:p>
          <w:p w14:paraId="520B0307" w14:textId="77777777" w:rsidR="00BE6283" w:rsidRDefault="00BE6283" w:rsidP="00BE6283">
            <w:pPr>
              <w:rPr>
                <w:b/>
                <w:bCs/>
              </w:rPr>
            </w:pPr>
          </w:p>
          <w:p w14:paraId="06D1FB4A" w14:textId="00535CFE" w:rsidR="00BE6283" w:rsidRPr="00656E61" w:rsidRDefault="00BE6283" w:rsidP="00BE6283">
            <w:pPr>
              <w:rPr>
                <w:b/>
                <w:bCs/>
              </w:rPr>
            </w:pPr>
            <w:r>
              <w:rPr>
                <w:b/>
                <w:bCs/>
              </w:rPr>
              <w:t>Case studies: Oxfam sexual misconduct scandal</w:t>
            </w:r>
          </w:p>
        </w:tc>
        <w:tc>
          <w:tcPr>
            <w:tcW w:w="7512" w:type="dxa"/>
          </w:tcPr>
          <w:p w14:paraId="45ACD07C" w14:textId="77777777" w:rsidR="00BE6283" w:rsidRPr="00434B70" w:rsidRDefault="00BE6283" w:rsidP="00BE6283">
            <w:pPr>
              <w:rPr>
                <w:b/>
                <w:bCs/>
              </w:rPr>
            </w:pPr>
            <w:r w:rsidRPr="00434B70">
              <w:rPr>
                <w:b/>
                <w:bCs/>
              </w:rPr>
              <w:t>REQUIRED READINGS:</w:t>
            </w:r>
          </w:p>
          <w:p w14:paraId="0F88DF57" w14:textId="77777777" w:rsidR="00BE6283" w:rsidRDefault="00BE6283" w:rsidP="00BE6283">
            <w:pPr>
              <w:rPr>
                <w:rFonts w:ascii="Verdana" w:hAnsi="Verdana"/>
                <w:color w:val="555555"/>
                <w:sz w:val="18"/>
                <w:szCs w:val="18"/>
                <w:shd w:val="clear" w:color="auto" w:fill="FFFFFF"/>
              </w:rPr>
            </w:pPr>
          </w:p>
          <w:p w14:paraId="10ECB7C4" w14:textId="77777777" w:rsidR="00BE6283" w:rsidRPr="00A1355E" w:rsidRDefault="00BE6283" w:rsidP="00BE6283">
            <w:pPr>
              <w:pStyle w:val="ListParagraph"/>
              <w:numPr>
                <w:ilvl w:val="0"/>
                <w:numId w:val="15"/>
              </w:numPr>
              <w:rPr>
                <w:shd w:val="clear" w:color="auto" w:fill="FFFFFF"/>
              </w:rPr>
            </w:pPr>
            <w:r w:rsidRPr="00A1355E">
              <w:rPr>
                <w:shd w:val="clear" w:color="auto" w:fill="FFFFFF"/>
              </w:rPr>
              <w:t xml:space="preserve">Prakash, A. (2019). </w:t>
            </w:r>
            <w:proofErr w:type="spellStart"/>
            <w:r w:rsidRPr="00A1355E">
              <w:rPr>
                <w:shd w:val="clear" w:color="auto" w:fill="FFFFFF"/>
              </w:rPr>
              <w:t>Nonprofit</w:t>
            </w:r>
            <w:proofErr w:type="spellEnd"/>
            <w:r w:rsidRPr="00A1355E">
              <w:rPr>
                <w:shd w:val="clear" w:color="auto" w:fill="FFFFFF"/>
              </w:rPr>
              <w:t xml:space="preserve"> governance, public policy, and the Oxfam scandal: An introduction.</w:t>
            </w:r>
            <w:r w:rsidRPr="00A1355E">
              <w:rPr>
                <w:i/>
                <w:iCs/>
                <w:shd w:val="clear" w:color="auto" w:fill="FFFFFF"/>
              </w:rPr>
              <w:t> </w:t>
            </w:r>
            <w:proofErr w:type="spellStart"/>
            <w:r w:rsidRPr="00A1355E">
              <w:rPr>
                <w:i/>
                <w:iCs/>
                <w:shd w:val="clear" w:color="auto" w:fill="FFFFFF"/>
              </w:rPr>
              <w:t>Nonprofit</w:t>
            </w:r>
            <w:proofErr w:type="spellEnd"/>
            <w:r w:rsidRPr="00A1355E">
              <w:rPr>
                <w:i/>
                <w:iCs/>
                <w:shd w:val="clear" w:color="auto" w:fill="FFFFFF"/>
              </w:rPr>
              <w:t xml:space="preserve"> Policy Forum, 10</w:t>
            </w:r>
            <w:r w:rsidRPr="00A1355E">
              <w:rPr>
                <w:shd w:val="clear" w:color="auto" w:fill="FFFFFF"/>
              </w:rPr>
              <w:t xml:space="preserve">(4) </w:t>
            </w:r>
            <w:proofErr w:type="gramStart"/>
            <w:r w:rsidRPr="00A1355E">
              <w:rPr>
                <w:shd w:val="clear" w:color="auto" w:fill="FFFFFF"/>
              </w:rPr>
              <w:t>doi:http://dx.doi.org.proxy.lib.uwaterloo.ca/10.1515/npf-2019-0059</w:t>
            </w:r>
            <w:proofErr w:type="gramEnd"/>
          </w:p>
          <w:p w14:paraId="6452A5A7" w14:textId="77777777" w:rsidR="00BE6283" w:rsidRPr="00AE53B6" w:rsidRDefault="00BE6283" w:rsidP="00BE6283">
            <w:pPr>
              <w:rPr>
                <w:shd w:val="clear" w:color="auto" w:fill="FFFFFF"/>
              </w:rPr>
            </w:pPr>
          </w:p>
          <w:p w14:paraId="51A9F47F" w14:textId="30E65C31" w:rsidR="00BE6283" w:rsidRPr="00A1355E" w:rsidRDefault="00BE6283" w:rsidP="00BE6283">
            <w:pPr>
              <w:pStyle w:val="ListParagraph"/>
              <w:numPr>
                <w:ilvl w:val="0"/>
                <w:numId w:val="15"/>
              </w:numPr>
            </w:pPr>
            <w:r w:rsidRPr="00A1355E">
              <w:rPr>
                <w:shd w:val="clear" w:color="auto" w:fill="FFFFFF"/>
              </w:rPr>
              <w:t xml:space="preserve">Phillips, S. D. (2019). Putting </w:t>
            </w:r>
            <w:proofErr w:type="spellStart"/>
            <w:r w:rsidRPr="00A1355E">
              <w:rPr>
                <w:shd w:val="clear" w:color="auto" w:fill="FFFFFF"/>
              </w:rPr>
              <w:t>humpty</w:t>
            </w:r>
            <w:proofErr w:type="spellEnd"/>
            <w:r w:rsidRPr="00A1355E">
              <w:rPr>
                <w:shd w:val="clear" w:color="auto" w:fill="FFFFFF"/>
              </w:rPr>
              <w:t xml:space="preserve"> together again: How reputation regulation fails the charitable sector.</w:t>
            </w:r>
            <w:r w:rsidRPr="00A1355E">
              <w:rPr>
                <w:i/>
                <w:iCs/>
                <w:shd w:val="clear" w:color="auto" w:fill="FFFFFF"/>
              </w:rPr>
              <w:t> </w:t>
            </w:r>
            <w:proofErr w:type="spellStart"/>
            <w:r w:rsidRPr="00A1355E">
              <w:rPr>
                <w:i/>
                <w:iCs/>
                <w:shd w:val="clear" w:color="auto" w:fill="FFFFFF"/>
              </w:rPr>
              <w:t>Nonprofit</w:t>
            </w:r>
            <w:proofErr w:type="spellEnd"/>
            <w:r w:rsidRPr="00A1355E">
              <w:rPr>
                <w:i/>
                <w:iCs/>
                <w:shd w:val="clear" w:color="auto" w:fill="FFFFFF"/>
              </w:rPr>
              <w:t xml:space="preserve"> Policy Forum, 10</w:t>
            </w:r>
            <w:r w:rsidRPr="00A1355E">
              <w:rPr>
                <w:shd w:val="clear" w:color="auto" w:fill="FFFFFF"/>
              </w:rPr>
              <w:t xml:space="preserve">(4) </w:t>
            </w:r>
            <w:proofErr w:type="gramStart"/>
            <w:r w:rsidRPr="00A1355E">
              <w:rPr>
                <w:shd w:val="clear" w:color="auto" w:fill="FFFFFF"/>
              </w:rPr>
              <w:t>doi:http://dx.doi.org.proxy.lib.uwaterloo.ca/10.1515/npf-2019-0032</w:t>
            </w:r>
            <w:proofErr w:type="gramEnd"/>
          </w:p>
          <w:p w14:paraId="0C858301" w14:textId="77777777" w:rsidR="00BE6283" w:rsidRPr="00A1355E" w:rsidRDefault="00BE6283" w:rsidP="00BE6283">
            <w:pPr>
              <w:pStyle w:val="ListParagraph"/>
            </w:pPr>
          </w:p>
          <w:p w14:paraId="00159D82" w14:textId="6778C85F" w:rsidR="00BE6283" w:rsidRPr="00CF5AF0" w:rsidRDefault="00BE6283" w:rsidP="00BE6283">
            <w:pPr>
              <w:pStyle w:val="ListParagraph"/>
              <w:numPr>
                <w:ilvl w:val="0"/>
                <w:numId w:val="15"/>
              </w:numPr>
            </w:pPr>
            <w:r w:rsidRPr="00A1355E">
              <w:rPr>
                <w:shd w:val="clear" w:color="auto" w:fill="FFFFFF"/>
              </w:rPr>
              <w:t xml:space="preserve">Azevedo, A., Garwood, R. W., &amp; </w:t>
            </w:r>
            <w:proofErr w:type="spellStart"/>
            <w:r w:rsidRPr="00A1355E">
              <w:rPr>
                <w:shd w:val="clear" w:color="auto" w:fill="FFFFFF"/>
              </w:rPr>
              <w:t>Pretari</w:t>
            </w:r>
            <w:proofErr w:type="spellEnd"/>
            <w:r w:rsidRPr="00A1355E">
              <w:rPr>
                <w:shd w:val="clear" w:color="auto" w:fill="FFFFFF"/>
              </w:rPr>
              <w:t>, A. (2019). Bringing about social justice through feminist research for monitoring, evaluation, and learning? A conversation from Oxfam GB. </w:t>
            </w:r>
            <w:r w:rsidRPr="00A1355E">
              <w:rPr>
                <w:i/>
                <w:iCs/>
                <w:shd w:val="clear" w:color="auto" w:fill="FFFFFF"/>
              </w:rPr>
              <w:t>Gender &amp; Development</w:t>
            </w:r>
            <w:r w:rsidRPr="00A1355E">
              <w:rPr>
                <w:shd w:val="clear" w:color="auto" w:fill="FFFFFF"/>
              </w:rPr>
              <w:t>, </w:t>
            </w:r>
            <w:r w:rsidRPr="00A1355E">
              <w:rPr>
                <w:i/>
                <w:iCs/>
                <w:shd w:val="clear" w:color="auto" w:fill="FFFFFF"/>
              </w:rPr>
              <w:t>27</w:t>
            </w:r>
            <w:r w:rsidRPr="00A1355E">
              <w:rPr>
                <w:shd w:val="clear" w:color="auto" w:fill="FFFFFF"/>
              </w:rPr>
              <w:t>(3), 485–504. https://doi.org/10.1080/13552074.2019.1664040</w:t>
            </w:r>
          </w:p>
          <w:p w14:paraId="1FABC2A0" w14:textId="77777777" w:rsidR="00CF5AF0" w:rsidRPr="00AE53B6" w:rsidRDefault="00CF5AF0" w:rsidP="00CF5AF0">
            <w:pPr>
              <w:pStyle w:val="ListParagraph"/>
            </w:pPr>
          </w:p>
          <w:p w14:paraId="69B6EAC3" w14:textId="36D1A629" w:rsidR="00BE6283" w:rsidRDefault="00BE6283" w:rsidP="00BE6283">
            <w:pPr>
              <w:rPr>
                <w:b/>
                <w:bCs/>
                <w:shd w:val="clear" w:color="auto" w:fill="FFFFFF"/>
              </w:rPr>
            </w:pPr>
            <w:r w:rsidRPr="00A1355E">
              <w:rPr>
                <w:b/>
                <w:bCs/>
                <w:shd w:val="clear" w:color="auto" w:fill="FFFFFF"/>
              </w:rPr>
              <w:t>ADDITIONAL READINGS:</w:t>
            </w:r>
          </w:p>
          <w:p w14:paraId="23E04518" w14:textId="77777777" w:rsidR="00BE6283" w:rsidRPr="00A1355E" w:rsidRDefault="00BE6283" w:rsidP="00BE6283">
            <w:pPr>
              <w:rPr>
                <w:b/>
                <w:bCs/>
                <w:shd w:val="clear" w:color="auto" w:fill="FFFFFF"/>
              </w:rPr>
            </w:pPr>
          </w:p>
          <w:p w14:paraId="648831D5" w14:textId="4269EA7A" w:rsidR="00BE6283" w:rsidRPr="00A1355E" w:rsidRDefault="00BE6283" w:rsidP="00BE6283">
            <w:pPr>
              <w:pStyle w:val="ListParagraph"/>
              <w:numPr>
                <w:ilvl w:val="0"/>
                <w:numId w:val="15"/>
              </w:numPr>
            </w:pPr>
            <w:r w:rsidRPr="00A1355E">
              <w:rPr>
                <w:b/>
                <w:bCs/>
                <w:shd w:val="clear" w:color="auto" w:fill="FFFFFF"/>
              </w:rPr>
              <w:t xml:space="preserve">BANGLADESH: </w:t>
            </w:r>
            <w:r w:rsidRPr="00A1355E">
              <w:rPr>
                <w:shd w:val="clear" w:color="auto" w:fill="FFFFFF"/>
              </w:rPr>
              <w:t>Kabeer, N. (2011). Between Affiliation and Autonomy: Navigating Pathways of Women’s Empowerment and Gender Justice in Rural Bangladesh. </w:t>
            </w:r>
            <w:r w:rsidRPr="00A1355E">
              <w:rPr>
                <w:i/>
                <w:iCs/>
                <w:shd w:val="clear" w:color="auto" w:fill="FFFFFF"/>
              </w:rPr>
              <w:t>Development and Change</w:t>
            </w:r>
            <w:r w:rsidRPr="00A1355E">
              <w:rPr>
                <w:shd w:val="clear" w:color="auto" w:fill="FFFFFF"/>
              </w:rPr>
              <w:t>, </w:t>
            </w:r>
            <w:r w:rsidRPr="00A1355E">
              <w:rPr>
                <w:i/>
                <w:iCs/>
                <w:shd w:val="clear" w:color="auto" w:fill="FFFFFF"/>
              </w:rPr>
              <w:t>42</w:t>
            </w:r>
            <w:r w:rsidRPr="00A1355E">
              <w:rPr>
                <w:shd w:val="clear" w:color="auto" w:fill="FFFFFF"/>
              </w:rPr>
              <w:t xml:space="preserve">(2), 499–528. </w:t>
            </w:r>
            <w:hyperlink r:id="rId32" w:history="1">
              <w:r w:rsidRPr="005E34C6">
                <w:rPr>
                  <w:rStyle w:val="Hyperlink"/>
                  <w:shd w:val="clear" w:color="auto" w:fill="FFFFFF"/>
                </w:rPr>
                <w:t>https://doi.org/10.1111/j.1467-7660.2011.01703.x</w:t>
              </w:r>
            </w:hyperlink>
          </w:p>
          <w:p w14:paraId="43985A30" w14:textId="77777777" w:rsidR="00BE6283" w:rsidRPr="00AE53B6" w:rsidRDefault="00BE6283" w:rsidP="00BE6283">
            <w:pPr>
              <w:pStyle w:val="ListParagraph"/>
            </w:pPr>
          </w:p>
          <w:p w14:paraId="2CAA36B8" w14:textId="44BB2BF0" w:rsidR="00CF5AF0" w:rsidRDefault="00BE6283" w:rsidP="00CF5AF0">
            <w:pPr>
              <w:pStyle w:val="ListParagraph"/>
              <w:numPr>
                <w:ilvl w:val="0"/>
                <w:numId w:val="15"/>
              </w:numPr>
              <w:rPr>
                <w:rStyle w:val="docurl"/>
                <w:shd w:val="clear" w:color="auto" w:fill="FFFFFF"/>
              </w:rPr>
            </w:pPr>
            <w:r w:rsidRPr="00A1355E">
              <w:rPr>
                <w:b/>
                <w:bCs/>
                <w:shd w:val="clear" w:color="auto" w:fill="FFFFFF"/>
              </w:rPr>
              <w:t xml:space="preserve">INDIA: </w:t>
            </w:r>
            <w:r w:rsidRPr="00A1355E">
              <w:rPr>
                <w:shd w:val="clear" w:color="auto" w:fill="FFFFFF"/>
              </w:rPr>
              <w:t xml:space="preserve">Singh, </w:t>
            </w:r>
            <w:proofErr w:type="spellStart"/>
            <w:r w:rsidRPr="00A1355E">
              <w:rPr>
                <w:shd w:val="clear" w:color="auto" w:fill="FFFFFF"/>
              </w:rPr>
              <w:t>Trishala</w:t>
            </w:r>
            <w:proofErr w:type="spellEnd"/>
            <w:r w:rsidRPr="00A1355E">
              <w:rPr>
                <w:shd w:val="clear" w:color="auto" w:fill="FFFFFF"/>
              </w:rPr>
              <w:t xml:space="preserve">. "Prevention of sexual harassment of women in the workplace: seeking gender equality at work in India." </w:t>
            </w:r>
            <w:r w:rsidRPr="00A1355E">
              <w:rPr>
                <w:i/>
                <w:iCs/>
                <w:bdr w:val="none" w:sz="0" w:space="0" w:color="auto" w:frame="1"/>
                <w:shd w:val="clear" w:color="auto" w:fill="FFFFFF"/>
              </w:rPr>
              <w:t>Journal of International Women's Studies</w:t>
            </w:r>
            <w:r w:rsidRPr="00A1355E">
              <w:rPr>
                <w:shd w:val="clear" w:color="auto" w:fill="FFFFFF"/>
              </w:rPr>
              <w:t xml:space="preserve">, vol. 18, no. 1, 2016, p. 104+. </w:t>
            </w:r>
            <w:r w:rsidRPr="00A1355E">
              <w:rPr>
                <w:i/>
                <w:iCs/>
                <w:bdr w:val="none" w:sz="0" w:space="0" w:color="auto" w:frame="1"/>
                <w:shd w:val="clear" w:color="auto" w:fill="FFFFFF"/>
              </w:rPr>
              <w:t>Gale Academic OneFile</w:t>
            </w:r>
            <w:r w:rsidRPr="00A1355E">
              <w:rPr>
                <w:shd w:val="clear" w:color="auto" w:fill="FFFFFF"/>
              </w:rPr>
              <w:t xml:space="preserve">, </w:t>
            </w:r>
            <w:hyperlink r:id="rId33" w:history="1">
              <w:r w:rsidR="00CF5AF0" w:rsidRPr="005E34C6">
                <w:rPr>
                  <w:rStyle w:val="Hyperlink"/>
                  <w:shd w:val="clear" w:color="auto" w:fill="FFFFFF"/>
                </w:rPr>
                <w:t>https://link.gale.com/apps/doc/A472266427/AONE?u=uniwater&amp;sid=AONE&amp;xid=f37eefb2</w:t>
              </w:r>
            </w:hyperlink>
          </w:p>
          <w:p w14:paraId="40A1F3F7" w14:textId="77777777" w:rsidR="00BE6283" w:rsidRPr="00CF5AF0" w:rsidRDefault="00BE6283" w:rsidP="00CF5AF0">
            <w:pPr>
              <w:rPr>
                <w:b/>
                <w:bCs/>
              </w:rPr>
            </w:pPr>
          </w:p>
        </w:tc>
      </w:tr>
      <w:tr w:rsidR="00BE6283" w:rsidRPr="00656E61" w14:paraId="6AF6BCFF" w14:textId="77777777" w:rsidTr="00FE0758">
        <w:tc>
          <w:tcPr>
            <w:tcW w:w="1838" w:type="dxa"/>
          </w:tcPr>
          <w:p w14:paraId="1C6860DC" w14:textId="77777777" w:rsidR="00BE6283" w:rsidRPr="00656E61" w:rsidRDefault="00BE6283" w:rsidP="00BE6283">
            <w:pPr>
              <w:rPr>
                <w:b/>
                <w:bCs/>
              </w:rPr>
            </w:pPr>
            <w:r w:rsidRPr="00656E61">
              <w:rPr>
                <w:b/>
                <w:bCs/>
              </w:rPr>
              <w:lastRenderedPageBreak/>
              <w:t>Week 11: Mar 22</w:t>
            </w:r>
            <w:r w:rsidRPr="00656E61">
              <w:rPr>
                <w:b/>
                <w:bCs/>
                <w:vertAlign w:val="superscript"/>
              </w:rPr>
              <w:t>nd</w:t>
            </w:r>
          </w:p>
          <w:p w14:paraId="6B58A9E4" w14:textId="77777777" w:rsidR="00BE6283" w:rsidRDefault="00BE6283" w:rsidP="00BE6283">
            <w:pPr>
              <w:rPr>
                <w:b/>
                <w:bCs/>
              </w:rPr>
            </w:pPr>
          </w:p>
          <w:p w14:paraId="0175CE7B" w14:textId="221354FF" w:rsidR="00BE6283" w:rsidRPr="00691387" w:rsidRDefault="00BE6283" w:rsidP="00BE6283">
            <w:r w:rsidRPr="00691387">
              <w:t>Politics, Conflicts of Interests &amp; Cronyism</w:t>
            </w:r>
          </w:p>
          <w:p w14:paraId="2F1CD3E8" w14:textId="77777777" w:rsidR="00BE6283" w:rsidRDefault="00BE6283" w:rsidP="00BE6283">
            <w:pPr>
              <w:rPr>
                <w:b/>
                <w:bCs/>
              </w:rPr>
            </w:pPr>
          </w:p>
          <w:p w14:paraId="392995D7" w14:textId="7FFA445E" w:rsidR="00BE6283" w:rsidRPr="00656E61" w:rsidRDefault="00BE6283" w:rsidP="00BE6283">
            <w:pPr>
              <w:rPr>
                <w:b/>
                <w:bCs/>
              </w:rPr>
            </w:pPr>
            <w:r w:rsidRPr="004439C6">
              <w:rPr>
                <w:b/>
                <w:bCs/>
              </w:rPr>
              <w:t>WE Scandal involving the Trudeau government</w:t>
            </w:r>
          </w:p>
        </w:tc>
        <w:tc>
          <w:tcPr>
            <w:tcW w:w="7512" w:type="dxa"/>
          </w:tcPr>
          <w:p w14:paraId="362B144E" w14:textId="77777777" w:rsidR="00BE6283" w:rsidRPr="00434B70" w:rsidRDefault="00BE6283" w:rsidP="00BE6283">
            <w:pPr>
              <w:rPr>
                <w:b/>
                <w:bCs/>
              </w:rPr>
            </w:pPr>
            <w:r w:rsidRPr="00434B70">
              <w:rPr>
                <w:b/>
                <w:bCs/>
              </w:rPr>
              <w:t>REQUIRED READINGS:</w:t>
            </w:r>
          </w:p>
          <w:p w14:paraId="03773F93" w14:textId="77777777" w:rsidR="00BE6283" w:rsidRDefault="00BE6283" w:rsidP="00BE6283"/>
          <w:p w14:paraId="10CE9D35" w14:textId="77777777" w:rsidR="00BE6283" w:rsidRPr="00A1355E" w:rsidRDefault="00BE6283" w:rsidP="00BE6283">
            <w:pPr>
              <w:pStyle w:val="ListParagraph"/>
              <w:numPr>
                <w:ilvl w:val="0"/>
                <w:numId w:val="16"/>
              </w:numPr>
              <w:rPr>
                <w:i/>
                <w:iCs/>
              </w:rPr>
            </w:pPr>
            <w:r w:rsidRPr="006817FC">
              <w:t xml:space="preserve">CBC News. (2020). </w:t>
            </w:r>
            <w:r>
              <w:t>“</w:t>
            </w:r>
            <w:r w:rsidRPr="00A1355E">
              <w:rPr>
                <w:i/>
                <w:iCs/>
              </w:rPr>
              <w:t xml:space="preserve">The WE Charity controversy explained”. </w:t>
            </w:r>
          </w:p>
          <w:p w14:paraId="6171B393" w14:textId="17F1EB04" w:rsidR="00BE6283" w:rsidRPr="00A1355E" w:rsidRDefault="000C3A23" w:rsidP="00BE6283">
            <w:pPr>
              <w:pStyle w:val="ListParagraph"/>
              <w:shd w:val="clear" w:color="auto" w:fill="FFFFFF"/>
              <w:textAlignment w:val="baseline"/>
              <w:rPr>
                <w:sz w:val="28"/>
                <w:szCs w:val="28"/>
                <w:lang w:eastAsia="en-CA"/>
              </w:rPr>
            </w:pPr>
            <w:hyperlink r:id="rId34" w:history="1">
              <w:r w:rsidR="00BE6283" w:rsidRPr="005E34C6">
                <w:rPr>
                  <w:rStyle w:val="Hyperlink"/>
                </w:rPr>
                <w:t>https://www.cbc.ca/news/canada/we-charity-student-grant-justin-trudeau-testimony-1.5666676</w:t>
              </w:r>
            </w:hyperlink>
          </w:p>
          <w:p w14:paraId="6202E684" w14:textId="77777777" w:rsidR="00BE6283" w:rsidRPr="006817FC" w:rsidRDefault="00BE6283" w:rsidP="00BE6283">
            <w:pPr>
              <w:shd w:val="clear" w:color="auto" w:fill="FFFFFF"/>
              <w:textAlignment w:val="baseline"/>
              <w:rPr>
                <w:sz w:val="28"/>
                <w:szCs w:val="28"/>
                <w:lang w:eastAsia="en-CA"/>
              </w:rPr>
            </w:pPr>
          </w:p>
          <w:p w14:paraId="40CC9946" w14:textId="77777777" w:rsidR="00FB68BC" w:rsidRPr="00A1355E" w:rsidRDefault="00FB68BC" w:rsidP="00FB68BC">
            <w:pPr>
              <w:pStyle w:val="ListParagraph"/>
              <w:numPr>
                <w:ilvl w:val="0"/>
                <w:numId w:val="16"/>
              </w:numPr>
              <w:rPr>
                <w:color w:val="000000"/>
                <w:shd w:val="clear" w:color="auto" w:fill="FFFFFF"/>
              </w:rPr>
            </w:pPr>
            <w:r w:rsidRPr="00A1355E">
              <w:rPr>
                <w:color w:val="000000"/>
                <w:shd w:val="clear" w:color="auto" w:fill="FFFFFF"/>
              </w:rPr>
              <w:t>Hodgson, G. (2019). Capitalism, Cronyism, and Democracy. </w:t>
            </w:r>
            <w:r w:rsidRPr="00A1355E">
              <w:rPr>
                <w:i/>
                <w:iCs/>
                <w:color w:val="000000"/>
                <w:shd w:val="clear" w:color="auto" w:fill="FFFFFF"/>
              </w:rPr>
              <w:t>The Independent Review (Oakland, Calif.)</w:t>
            </w:r>
            <w:r w:rsidRPr="00A1355E">
              <w:rPr>
                <w:color w:val="000000"/>
                <w:shd w:val="clear" w:color="auto" w:fill="FFFFFF"/>
              </w:rPr>
              <w:t>, </w:t>
            </w:r>
            <w:r w:rsidRPr="00A1355E">
              <w:rPr>
                <w:i/>
                <w:iCs/>
                <w:color w:val="000000"/>
                <w:shd w:val="clear" w:color="auto" w:fill="FFFFFF"/>
              </w:rPr>
              <w:t>23</w:t>
            </w:r>
            <w:r w:rsidRPr="00A1355E">
              <w:rPr>
                <w:color w:val="000000"/>
                <w:shd w:val="clear" w:color="auto" w:fill="FFFFFF"/>
              </w:rPr>
              <w:t>(3), 345–.</w:t>
            </w:r>
          </w:p>
          <w:p w14:paraId="34015C84" w14:textId="77777777" w:rsidR="00FB68BC" w:rsidRDefault="00FB68BC" w:rsidP="00BE6283">
            <w:pPr>
              <w:rPr>
                <w:b/>
                <w:bCs/>
                <w:shd w:val="clear" w:color="auto" w:fill="FFFFFF"/>
              </w:rPr>
            </w:pPr>
          </w:p>
          <w:p w14:paraId="5E4006E7" w14:textId="573C010E" w:rsidR="00BE6283" w:rsidRPr="00A1355E" w:rsidRDefault="00BE6283" w:rsidP="00BE6283">
            <w:pPr>
              <w:rPr>
                <w:b/>
                <w:bCs/>
                <w:shd w:val="clear" w:color="auto" w:fill="FFFFFF"/>
              </w:rPr>
            </w:pPr>
            <w:r w:rsidRPr="00A1355E">
              <w:rPr>
                <w:b/>
                <w:bCs/>
                <w:shd w:val="clear" w:color="auto" w:fill="FFFFFF"/>
              </w:rPr>
              <w:t>ADDITIONAL READINGS:</w:t>
            </w:r>
          </w:p>
          <w:p w14:paraId="1462EB1E" w14:textId="77777777" w:rsidR="00BE6283" w:rsidRDefault="00BE6283" w:rsidP="00BE6283">
            <w:pPr>
              <w:shd w:val="clear" w:color="auto" w:fill="FFFFFF"/>
              <w:contextualSpacing/>
              <w:rPr>
                <w:color w:val="000000"/>
                <w:lang w:eastAsia="en-CA"/>
              </w:rPr>
            </w:pPr>
          </w:p>
          <w:p w14:paraId="28440F8B" w14:textId="77777777" w:rsidR="00D12B07" w:rsidRPr="00540785" w:rsidRDefault="00D12B07" w:rsidP="00D12B07">
            <w:pPr>
              <w:pStyle w:val="ListParagraph"/>
              <w:numPr>
                <w:ilvl w:val="0"/>
                <w:numId w:val="16"/>
              </w:numPr>
            </w:pPr>
            <w:r>
              <w:rPr>
                <w:color w:val="000000"/>
                <w:shd w:val="clear" w:color="auto" w:fill="FFFFFF"/>
              </w:rPr>
              <w:t>S</w:t>
            </w:r>
            <w:r w:rsidRPr="00A1355E">
              <w:rPr>
                <w:color w:val="000000"/>
                <w:shd w:val="clear" w:color="auto" w:fill="FFFFFF"/>
              </w:rPr>
              <w:t>orrentino, N. (2019). We Cannot Let Cronyism Overrun Our Economic Garden. </w:t>
            </w:r>
            <w:r w:rsidRPr="00A1355E">
              <w:rPr>
                <w:i/>
                <w:iCs/>
                <w:color w:val="000000"/>
                <w:shd w:val="clear" w:color="auto" w:fill="FFFFFF"/>
              </w:rPr>
              <w:t>The Independent Review (Oakland, Calif.)</w:t>
            </w:r>
            <w:r w:rsidRPr="00A1355E">
              <w:rPr>
                <w:color w:val="000000"/>
                <w:shd w:val="clear" w:color="auto" w:fill="FFFFFF"/>
              </w:rPr>
              <w:t>, </w:t>
            </w:r>
            <w:r w:rsidRPr="00A1355E">
              <w:rPr>
                <w:i/>
                <w:iCs/>
                <w:color w:val="000000"/>
                <w:shd w:val="clear" w:color="auto" w:fill="FFFFFF"/>
              </w:rPr>
              <w:t>23</w:t>
            </w:r>
            <w:r w:rsidRPr="00A1355E">
              <w:rPr>
                <w:color w:val="000000"/>
                <w:shd w:val="clear" w:color="auto" w:fill="FFFFFF"/>
              </w:rPr>
              <w:t>(3), 393–.</w:t>
            </w:r>
          </w:p>
          <w:p w14:paraId="3E0A329A" w14:textId="77777777" w:rsidR="00D12B07" w:rsidRDefault="00D12B07" w:rsidP="00D12B07">
            <w:pPr>
              <w:pStyle w:val="ListParagraph"/>
              <w:shd w:val="clear" w:color="auto" w:fill="FFFFFF"/>
              <w:rPr>
                <w:color w:val="000000"/>
                <w:lang w:eastAsia="en-CA"/>
              </w:rPr>
            </w:pPr>
          </w:p>
          <w:p w14:paraId="03812813" w14:textId="4B4F58B0" w:rsidR="00BE6283" w:rsidRPr="00A1355E" w:rsidRDefault="00BE6283" w:rsidP="00BE6283">
            <w:pPr>
              <w:pStyle w:val="ListParagraph"/>
              <w:numPr>
                <w:ilvl w:val="0"/>
                <w:numId w:val="16"/>
              </w:numPr>
              <w:shd w:val="clear" w:color="auto" w:fill="FFFFFF"/>
              <w:rPr>
                <w:color w:val="000000"/>
                <w:lang w:eastAsia="en-CA"/>
              </w:rPr>
            </w:pPr>
            <w:r w:rsidRPr="00A1355E">
              <w:rPr>
                <w:color w:val="000000"/>
                <w:lang w:eastAsia="en-CA"/>
              </w:rPr>
              <w:t>Hurst, M. (2008). A question of method. The ethics of managing conflicts of interest. </w:t>
            </w:r>
            <w:r w:rsidRPr="00A1355E">
              <w:rPr>
                <w:i/>
                <w:iCs/>
                <w:color w:val="000000"/>
                <w:lang w:eastAsia="en-CA"/>
              </w:rPr>
              <w:t>EMBO Reports</w:t>
            </w:r>
            <w:r w:rsidRPr="00A1355E">
              <w:rPr>
                <w:color w:val="000000"/>
                <w:lang w:eastAsia="en-CA"/>
              </w:rPr>
              <w:t>, </w:t>
            </w:r>
            <w:r w:rsidRPr="00A1355E">
              <w:rPr>
                <w:i/>
                <w:iCs/>
                <w:color w:val="000000"/>
                <w:lang w:eastAsia="en-CA"/>
              </w:rPr>
              <w:t>9</w:t>
            </w:r>
            <w:r w:rsidRPr="00A1355E">
              <w:rPr>
                <w:color w:val="000000"/>
                <w:lang w:eastAsia="en-CA"/>
              </w:rPr>
              <w:t>(2), 119–123. https://doi.org/10.1038/sj.embor.2008.4</w:t>
            </w:r>
          </w:p>
          <w:p w14:paraId="0B663472" w14:textId="6C01ACC1" w:rsidR="00BE6283" w:rsidRPr="00656E61" w:rsidRDefault="00BE6283" w:rsidP="00D12B07">
            <w:pPr>
              <w:rPr>
                <w:b/>
                <w:bCs/>
              </w:rPr>
            </w:pPr>
          </w:p>
        </w:tc>
      </w:tr>
      <w:tr w:rsidR="00BE6283" w:rsidRPr="00656E61" w14:paraId="1916F785" w14:textId="77777777" w:rsidTr="00FE0758">
        <w:tc>
          <w:tcPr>
            <w:tcW w:w="1838" w:type="dxa"/>
          </w:tcPr>
          <w:p w14:paraId="228A4562" w14:textId="77777777" w:rsidR="00BE6283" w:rsidRPr="00656E61" w:rsidRDefault="00BE6283" w:rsidP="00BE6283">
            <w:pPr>
              <w:rPr>
                <w:b/>
                <w:bCs/>
              </w:rPr>
            </w:pPr>
            <w:r w:rsidRPr="00656E61">
              <w:rPr>
                <w:b/>
                <w:bCs/>
              </w:rPr>
              <w:t>Week 12: Mar 29</w:t>
            </w:r>
            <w:r w:rsidRPr="00656E61">
              <w:rPr>
                <w:b/>
                <w:bCs/>
                <w:vertAlign w:val="superscript"/>
              </w:rPr>
              <w:t>th</w:t>
            </w:r>
          </w:p>
          <w:p w14:paraId="0157DB72" w14:textId="77777777" w:rsidR="00BE6283" w:rsidRDefault="00BE6283" w:rsidP="00BE6283"/>
          <w:p w14:paraId="637F8FC4" w14:textId="07E89990" w:rsidR="00BE6283" w:rsidRPr="00691387" w:rsidRDefault="00BE6283" w:rsidP="00BE6283">
            <w:r w:rsidRPr="00691387">
              <w:lastRenderedPageBreak/>
              <w:t>Environmental Racism</w:t>
            </w:r>
            <w:r>
              <w:t xml:space="preserve"> &amp; Justice</w:t>
            </w:r>
          </w:p>
          <w:p w14:paraId="16BD7CB3" w14:textId="64B3DF04" w:rsidR="00BE6283" w:rsidRPr="00656E61" w:rsidRDefault="00BE6283" w:rsidP="00BE6283">
            <w:pPr>
              <w:rPr>
                <w:b/>
                <w:bCs/>
              </w:rPr>
            </w:pPr>
          </w:p>
        </w:tc>
        <w:tc>
          <w:tcPr>
            <w:tcW w:w="7512" w:type="dxa"/>
          </w:tcPr>
          <w:p w14:paraId="0B0E79F1" w14:textId="588F32E1" w:rsidR="00EB3F2F" w:rsidRDefault="00BE6283" w:rsidP="00EB3F2F">
            <w:pPr>
              <w:rPr>
                <w:b/>
                <w:bCs/>
              </w:rPr>
            </w:pPr>
            <w:r w:rsidRPr="00E80B86">
              <w:rPr>
                <w:b/>
                <w:bCs/>
              </w:rPr>
              <w:lastRenderedPageBreak/>
              <w:t>REQUIRED READINGS:</w:t>
            </w:r>
          </w:p>
          <w:p w14:paraId="089FBB22" w14:textId="77777777" w:rsidR="00EB3F2F" w:rsidRDefault="00EB3F2F" w:rsidP="00EB3F2F">
            <w:pPr>
              <w:rPr>
                <w:b/>
                <w:bCs/>
              </w:rPr>
            </w:pPr>
          </w:p>
          <w:p w14:paraId="6461555F" w14:textId="40E0CC68" w:rsidR="00BE6283" w:rsidRPr="00EB3F2F" w:rsidRDefault="00BE6283" w:rsidP="00EB3F2F">
            <w:pPr>
              <w:pStyle w:val="ListParagraph"/>
              <w:numPr>
                <w:ilvl w:val="0"/>
                <w:numId w:val="18"/>
              </w:numPr>
              <w:rPr>
                <w:color w:val="212529"/>
                <w:shd w:val="clear" w:color="auto" w:fill="FFFFFF"/>
              </w:rPr>
            </w:pPr>
            <w:r w:rsidRPr="00EB3F2F">
              <w:rPr>
                <w:color w:val="212529"/>
                <w:shd w:val="clear" w:color="auto" w:fill="FFFFFF"/>
              </w:rPr>
              <w:t>Pulido, L. (2016). Flint, Environmental Racism, and Racial Capitalism. </w:t>
            </w:r>
            <w:r w:rsidRPr="00EB3F2F">
              <w:rPr>
                <w:i/>
                <w:iCs/>
                <w:color w:val="212529"/>
                <w:shd w:val="clear" w:color="auto" w:fill="FFFFFF"/>
              </w:rPr>
              <w:t>Capitalism Nature Socialism</w:t>
            </w:r>
            <w:r w:rsidRPr="00EB3F2F">
              <w:rPr>
                <w:color w:val="212529"/>
                <w:shd w:val="clear" w:color="auto" w:fill="FFFFFF"/>
              </w:rPr>
              <w:t>, </w:t>
            </w:r>
            <w:r w:rsidRPr="00EB3F2F">
              <w:rPr>
                <w:i/>
                <w:iCs/>
                <w:color w:val="212529"/>
                <w:shd w:val="clear" w:color="auto" w:fill="FFFFFF"/>
              </w:rPr>
              <w:t>27</w:t>
            </w:r>
            <w:r w:rsidRPr="00EB3F2F">
              <w:rPr>
                <w:color w:val="212529"/>
                <w:shd w:val="clear" w:color="auto" w:fill="FFFFFF"/>
              </w:rPr>
              <w:t xml:space="preserve">(3), 1–16. </w:t>
            </w:r>
            <w:hyperlink r:id="rId35" w:history="1">
              <w:r w:rsidRPr="00EB3F2F">
                <w:rPr>
                  <w:rStyle w:val="Hyperlink"/>
                  <w:shd w:val="clear" w:color="auto" w:fill="FFFFFF"/>
                </w:rPr>
                <w:t>https://doi.org/10.1080/10455752.2016.1213013</w:t>
              </w:r>
            </w:hyperlink>
          </w:p>
          <w:p w14:paraId="05150BBC" w14:textId="77777777" w:rsidR="00BE6283" w:rsidRPr="000A61C3" w:rsidRDefault="00BE6283" w:rsidP="00BE6283">
            <w:pPr>
              <w:rPr>
                <w:color w:val="212529"/>
                <w:shd w:val="clear" w:color="auto" w:fill="FFFFFF"/>
              </w:rPr>
            </w:pPr>
          </w:p>
          <w:p w14:paraId="44935F5F" w14:textId="38EA4771" w:rsidR="00820734" w:rsidRPr="00E80B86" w:rsidRDefault="00820734" w:rsidP="00820734">
            <w:pPr>
              <w:pStyle w:val="ListParagraph"/>
              <w:numPr>
                <w:ilvl w:val="0"/>
                <w:numId w:val="16"/>
              </w:numPr>
              <w:rPr>
                <w:color w:val="000000"/>
                <w:shd w:val="clear" w:color="auto" w:fill="FFFFFF"/>
              </w:rPr>
            </w:pPr>
            <w:proofErr w:type="spellStart"/>
            <w:r w:rsidRPr="00E80B86">
              <w:rPr>
                <w:color w:val="000000"/>
                <w:shd w:val="clear" w:color="auto" w:fill="FFFFFF"/>
              </w:rPr>
              <w:t>Brulle</w:t>
            </w:r>
            <w:proofErr w:type="spellEnd"/>
            <w:r w:rsidRPr="00E80B86">
              <w:rPr>
                <w:color w:val="000000"/>
                <w:shd w:val="clear" w:color="auto" w:fill="FFFFFF"/>
              </w:rPr>
              <w:t xml:space="preserve">, P. (2006). Environmental </w:t>
            </w:r>
            <w:r>
              <w:rPr>
                <w:color w:val="000000"/>
                <w:shd w:val="clear" w:color="auto" w:fill="FFFFFF"/>
              </w:rPr>
              <w:t>J</w:t>
            </w:r>
            <w:r w:rsidRPr="00E80B86">
              <w:rPr>
                <w:color w:val="000000"/>
                <w:shd w:val="clear" w:color="auto" w:fill="FFFFFF"/>
              </w:rPr>
              <w:t>ustice: Human Health and Environmental Inequalities. </w:t>
            </w:r>
            <w:r w:rsidRPr="00E80B86">
              <w:rPr>
                <w:i/>
                <w:iCs/>
                <w:color w:val="000000"/>
                <w:shd w:val="clear" w:color="auto" w:fill="FFFFFF"/>
              </w:rPr>
              <w:t>Annual Review of Public Health</w:t>
            </w:r>
            <w:r w:rsidRPr="00E80B86">
              <w:rPr>
                <w:color w:val="000000"/>
                <w:shd w:val="clear" w:color="auto" w:fill="FFFFFF"/>
              </w:rPr>
              <w:t>, </w:t>
            </w:r>
            <w:r w:rsidRPr="00E80B86">
              <w:rPr>
                <w:i/>
                <w:iCs/>
                <w:color w:val="000000"/>
                <w:shd w:val="clear" w:color="auto" w:fill="FFFFFF"/>
              </w:rPr>
              <w:t>27</w:t>
            </w:r>
            <w:r w:rsidRPr="00E80B86">
              <w:rPr>
                <w:color w:val="000000"/>
                <w:shd w:val="clear" w:color="auto" w:fill="FFFFFF"/>
              </w:rPr>
              <w:t xml:space="preserve">(1), 103–124. </w:t>
            </w:r>
            <w:hyperlink r:id="rId36" w:history="1">
              <w:r w:rsidRPr="00E80B86">
                <w:rPr>
                  <w:rStyle w:val="Hyperlink"/>
                  <w:shd w:val="clear" w:color="auto" w:fill="FFFFFF"/>
                </w:rPr>
                <w:t>https://doi.org/10.1146/annurev.publhealth.27.021405.102124</w:t>
              </w:r>
            </w:hyperlink>
          </w:p>
          <w:p w14:paraId="2C0E1F66" w14:textId="77777777" w:rsidR="00820734" w:rsidRDefault="00820734" w:rsidP="00820734">
            <w:pPr>
              <w:rPr>
                <w:b/>
                <w:bCs/>
                <w:shd w:val="clear" w:color="auto" w:fill="FFFFFF"/>
              </w:rPr>
            </w:pPr>
          </w:p>
          <w:p w14:paraId="7FF003A6" w14:textId="3D241388" w:rsidR="00820734" w:rsidRPr="00A1355E" w:rsidRDefault="00820734" w:rsidP="00820734">
            <w:pPr>
              <w:rPr>
                <w:b/>
                <w:bCs/>
                <w:shd w:val="clear" w:color="auto" w:fill="FFFFFF"/>
              </w:rPr>
            </w:pPr>
            <w:r w:rsidRPr="00A1355E">
              <w:rPr>
                <w:b/>
                <w:bCs/>
                <w:shd w:val="clear" w:color="auto" w:fill="FFFFFF"/>
              </w:rPr>
              <w:t>ADDITIONAL READINGS:</w:t>
            </w:r>
          </w:p>
          <w:p w14:paraId="46DEB6CC" w14:textId="77777777" w:rsidR="00BE6283" w:rsidRPr="000A61C3" w:rsidRDefault="00BE6283" w:rsidP="00BE6283">
            <w:pPr>
              <w:rPr>
                <w:color w:val="000000"/>
                <w:shd w:val="clear" w:color="auto" w:fill="FFFFFF"/>
              </w:rPr>
            </w:pPr>
          </w:p>
          <w:p w14:paraId="4CBFFD24" w14:textId="148807E1" w:rsidR="00D12B07" w:rsidRPr="00820734" w:rsidRDefault="00BE6283" w:rsidP="00820734">
            <w:pPr>
              <w:pStyle w:val="ListParagraph"/>
              <w:numPr>
                <w:ilvl w:val="0"/>
                <w:numId w:val="16"/>
              </w:numPr>
              <w:rPr>
                <w:color w:val="000000"/>
                <w:shd w:val="clear" w:color="auto" w:fill="FFFFFF"/>
              </w:rPr>
            </w:pPr>
            <w:r w:rsidRPr="00E80B86">
              <w:rPr>
                <w:color w:val="000000"/>
                <w:shd w:val="clear" w:color="auto" w:fill="FFFFFF"/>
              </w:rPr>
              <w:t>Dickinson, E. (2012). Addressing Environmental Racism Through Storytelling: Toward an Environmental Justice Narrative Framework. </w:t>
            </w:r>
            <w:r w:rsidRPr="00E80B86">
              <w:rPr>
                <w:i/>
                <w:iCs/>
                <w:color w:val="000000"/>
                <w:shd w:val="clear" w:color="auto" w:fill="FFFFFF"/>
              </w:rPr>
              <w:t>Communication, Culture &amp; Critique</w:t>
            </w:r>
            <w:r w:rsidRPr="00E80B86">
              <w:rPr>
                <w:color w:val="000000"/>
                <w:shd w:val="clear" w:color="auto" w:fill="FFFFFF"/>
              </w:rPr>
              <w:t>, </w:t>
            </w:r>
            <w:r w:rsidRPr="00E80B86">
              <w:rPr>
                <w:i/>
                <w:iCs/>
                <w:color w:val="000000"/>
                <w:shd w:val="clear" w:color="auto" w:fill="FFFFFF"/>
              </w:rPr>
              <w:t>5</w:t>
            </w:r>
            <w:r w:rsidRPr="00E80B86">
              <w:rPr>
                <w:color w:val="000000"/>
                <w:shd w:val="clear" w:color="auto" w:fill="FFFFFF"/>
              </w:rPr>
              <w:t xml:space="preserve">(1), 57–74. </w:t>
            </w:r>
            <w:hyperlink r:id="rId37" w:history="1">
              <w:r w:rsidRPr="00E80B86">
                <w:rPr>
                  <w:rStyle w:val="Hyperlink"/>
                  <w:shd w:val="clear" w:color="auto" w:fill="FFFFFF"/>
                </w:rPr>
                <w:t>https://doi.org/10.1111/j.1753-9137.2012.01119.x</w:t>
              </w:r>
            </w:hyperlink>
          </w:p>
          <w:p w14:paraId="34D76179" w14:textId="77777777" w:rsidR="00820734" w:rsidRDefault="00820734" w:rsidP="00820734">
            <w:pPr>
              <w:pStyle w:val="ListParagraph"/>
              <w:rPr>
                <w:color w:val="000000"/>
                <w:shd w:val="clear" w:color="auto" w:fill="FFFFFF"/>
              </w:rPr>
            </w:pPr>
          </w:p>
          <w:p w14:paraId="241CEA09" w14:textId="77777777" w:rsidR="00D12B07" w:rsidRPr="00820734" w:rsidRDefault="00820734" w:rsidP="00820734">
            <w:pPr>
              <w:pStyle w:val="ListParagraph"/>
              <w:numPr>
                <w:ilvl w:val="0"/>
                <w:numId w:val="16"/>
              </w:numPr>
              <w:rPr>
                <w:rStyle w:val="Hyperlink"/>
                <w:color w:val="000000"/>
                <w:shd w:val="clear" w:color="auto" w:fill="FFFFFF"/>
              </w:rPr>
            </w:pPr>
            <w:r w:rsidRPr="00E80B86">
              <w:rPr>
                <w:color w:val="000000"/>
                <w:shd w:val="clear" w:color="auto" w:fill="FFFFFF"/>
              </w:rPr>
              <w:t>Kim, C. (2019). Revisiting environmental inequity in Southern California: Does environmental risk increase in ethnically homogeneous or mixed communities? </w:t>
            </w:r>
            <w:r w:rsidRPr="00E80B86">
              <w:rPr>
                <w:i/>
                <w:iCs/>
                <w:color w:val="000000"/>
                <w:shd w:val="clear" w:color="auto" w:fill="FFFFFF"/>
              </w:rPr>
              <w:t>Urban Studies (Edinburgh, Scotland)</w:t>
            </w:r>
            <w:r w:rsidRPr="00E80B86">
              <w:rPr>
                <w:color w:val="000000"/>
                <w:shd w:val="clear" w:color="auto" w:fill="FFFFFF"/>
              </w:rPr>
              <w:t>, </w:t>
            </w:r>
            <w:r w:rsidRPr="00E80B86">
              <w:rPr>
                <w:i/>
                <w:iCs/>
                <w:color w:val="000000"/>
                <w:shd w:val="clear" w:color="auto" w:fill="FFFFFF"/>
              </w:rPr>
              <w:t>56</w:t>
            </w:r>
            <w:r w:rsidRPr="00E80B86">
              <w:rPr>
                <w:color w:val="000000"/>
                <w:shd w:val="clear" w:color="auto" w:fill="FFFFFF"/>
              </w:rPr>
              <w:t xml:space="preserve">(9), 1748–1767. </w:t>
            </w:r>
            <w:hyperlink r:id="rId38" w:history="1">
              <w:r w:rsidRPr="00E80B86">
                <w:rPr>
                  <w:rStyle w:val="Hyperlink"/>
                  <w:shd w:val="clear" w:color="auto" w:fill="FFFFFF"/>
                </w:rPr>
                <w:t>https://doi.org/10.1177/0042098018803227</w:t>
              </w:r>
            </w:hyperlink>
          </w:p>
          <w:p w14:paraId="7E658E74" w14:textId="41A2F850" w:rsidR="00820734" w:rsidRPr="00820734" w:rsidRDefault="00820734" w:rsidP="00820734">
            <w:pPr>
              <w:rPr>
                <w:color w:val="000000"/>
                <w:shd w:val="clear" w:color="auto" w:fill="FFFFFF"/>
              </w:rPr>
            </w:pPr>
          </w:p>
        </w:tc>
      </w:tr>
      <w:tr w:rsidR="00BE6283" w:rsidRPr="00656E61" w14:paraId="24AC8724" w14:textId="77777777" w:rsidTr="00FE0758">
        <w:tc>
          <w:tcPr>
            <w:tcW w:w="1838" w:type="dxa"/>
          </w:tcPr>
          <w:p w14:paraId="1AABCDAE" w14:textId="77777777" w:rsidR="00D12B07" w:rsidRDefault="00BE6283" w:rsidP="00BE6283">
            <w:pPr>
              <w:rPr>
                <w:b/>
                <w:bCs/>
              </w:rPr>
            </w:pPr>
            <w:r w:rsidRPr="00656E61">
              <w:rPr>
                <w:b/>
                <w:bCs/>
              </w:rPr>
              <w:lastRenderedPageBreak/>
              <w:t xml:space="preserve">Week 13: </w:t>
            </w:r>
          </w:p>
          <w:p w14:paraId="5538D655" w14:textId="463281D6" w:rsidR="00BE6283" w:rsidRPr="00656E61" w:rsidRDefault="00BE6283" w:rsidP="00BE6283">
            <w:pPr>
              <w:rPr>
                <w:b/>
                <w:bCs/>
              </w:rPr>
            </w:pPr>
            <w:r w:rsidRPr="00656E61">
              <w:rPr>
                <w:b/>
                <w:bCs/>
              </w:rPr>
              <w:t>Apr 5</w:t>
            </w:r>
            <w:r w:rsidRPr="00656E61">
              <w:rPr>
                <w:b/>
                <w:bCs/>
                <w:vertAlign w:val="superscript"/>
              </w:rPr>
              <w:t>th</w:t>
            </w:r>
          </w:p>
          <w:p w14:paraId="0817357D" w14:textId="4E1098B4" w:rsidR="00BE6283" w:rsidRPr="00656E61" w:rsidRDefault="00BE6283" w:rsidP="00BE6283">
            <w:pPr>
              <w:rPr>
                <w:b/>
                <w:bCs/>
              </w:rPr>
            </w:pPr>
          </w:p>
        </w:tc>
        <w:tc>
          <w:tcPr>
            <w:tcW w:w="7512" w:type="dxa"/>
          </w:tcPr>
          <w:p w14:paraId="5887016E" w14:textId="13EFCA45" w:rsidR="00D12B07" w:rsidRPr="00D12B07" w:rsidRDefault="00D12B07" w:rsidP="00BE6283">
            <w:pPr>
              <w:jc w:val="center"/>
              <w:rPr>
                <w:b/>
                <w:bCs/>
              </w:rPr>
            </w:pPr>
            <w:r w:rsidRPr="00D12B07">
              <w:rPr>
                <w:b/>
                <w:bCs/>
              </w:rPr>
              <w:t>TAKE HOME EXAM</w:t>
            </w:r>
          </w:p>
          <w:p w14:paraId="7D6B9E80" w14:textId="712F7F46" w:rsidR="00D12B07" w:rsidRPr="00656E61" w:rsidRDefault="00BE6283" w:rsidP="00D12B07">
            <w:pPr>
              <w:jc w:val="center"/>
            </w:pPr>
            <w:r w:rsidRPr="00656E61">
              <w:t>No readings required this week</w:t>
            </w:r>
          </w:p>
        </w:tc>
      </w:tr>
    </w:tbl>
    <w:p w14:paraId="3C709C88" w14:textId="77777777" w:rsidR="000E52A8" w:rsidRPr="001C00BA" w:rsidRDefault="000E52A8" w:rsidP="000E52A8">
      <w:pPr>
        <w:rPr>
          <w:color w:val="0000FF"/>
          <w:u w:val="single"/>
        </w:rPr>
      </w:pPr>
    </w:p>
    <w:p w14:paraId="0FCAF090" w14:textId="691AC927" w:rsidR="001B6B45" w:rsidRDefault="001B6B45" w:rsidP="001B6B45">
      <w:pPr>
        <w:pStyle w:val="NormalWeb"/>
        <w:shd w:val="clear" w:color="auto" w:fill="FFFFFF"/>
        <w:rPr>
          <w:rFonts w:ascii="Georgia" w:hAnsi="Georgia"/>
          <w:color w:val="000000"/>
        </w:rPr>
      </w:pPr>
    </w:p>
    <w:p w14:paraId="442F2F6B" w14:textId="777B6F65" w:rsidR="00F9707F" w:rsidRDefault="00F9707F" w:rsidP="001B6B45">
      <w:pPr>
        <w:pStyle w:val="NormalWeb"/>
        <w:shd w:val="clear" w:color="auto" w:fill="FFFFFF"/>
      </w:pPr>
    </w:p>
    <w:sectPr w:rsidR="00F9707F">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8E18C" w14:textId="77777777" w:rsidR="000C3A23" w:rsidRDefault="000C3A23" w:rsidP="0003490F">
      <w:r>
        <w:separator/>
      </w:r>
    </w:p>
  </w:endnote>
  <w:endnote w:type="continuationSeparator" w:id="0">
    <w:p w14:paraId="21981CD3" w14:textId="77777777" w:rsidR="000C3A23" w:rsidRDefault="000C3A23" w:rsidP="0003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9012914"/>
      <w:docPartObj>
        <w:docPartGallery w:val="Page Numbers (Bottom of Page)"/>
        <w:docPartUnique/>
      </w:docPartObj>
    </w:sdtPr>
    <w:sdtEndPr>
      <w:rPr>
        <w:rStyle w:val="PageNumber"/>
      </w:rPr>
    </w:sdtEndPr>
    <w:sdtContent>
      <w:p w14:paraId="5BC3D742" w14:textId="5F3AAD3E" w:rsidR="00E80B86" w:rsidRDefault="00E80B86" w:rsidP="00E80B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CB75BA" w14:textId="77777777" w:rsidR="00E80B86" w:rsidRDefault="00E80B86" w:rsidP="00F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3731509"/>
      <w:docPartObj>
        <w:docPartGallery w:val="Page Numbers (Bottom of Page)"/>
        <w:docPartUnique/>
      </w:docPartObj>
    </w:sdtPr>
    <w:sdtEndPr>
      <w:rPr>
        <w:rStyle w:val="PageNumber"/>
      </w:rPr>
    </w:sdtEndPr>
    <w:sdtContent>
      <w:p w14:paraId="6A464294" w14:textId="3A1F92A2" w:rsidR="00E80B86" w:rsidRDefault="00E80B86" w:rsidP="00E80B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A27B9A" w14:textId="77777777" w:rsidR="00E80B86" w:rsidRDefault="00E80B86" w:rsidP="00FC12A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9510" w14:textId="77777777" w:rsidR="00E80B86" w:rsidRDefault="00E80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CCDD0" w14:textId="77777777" w:rsidR="000C3A23" w:rsidRDefault="000C3A23" w:rsidP="0003490F">
      <w:r>
        <w:separator/>
      </w:r>
    </w:p>
  </w:footnote>
  <w:footnote w:type="continuationSeparator" w:id="0">
    <w:p w14:paraId="4EA7B62A" w14:textId="77777777" w:rsidR="000C3A23" w:rsidRDefault="000C3A23" w:rsidP="0003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3AE78" w14:textId="77777777" w:rsidR="00E80B86" w:rsidRDefault="00E80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D4F0" w14:textId="2C03EF03" w:rsidR="00E80B86" w:rsidRDefault="00E80B86">
    <w:pPr>
      <w:pStyle w:val="Header"/>
      <w:jc w:val="right"/>
    </w:pPr>
  </w:p>
  <w:p w14:paraId="0191BE7A" w14:textId="77777777" w:rsidR="00E80B86" w:rsidRDefault="00E80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5921" w14:textId="77777777" w:rsidR="00E80B86" w:rsidRDefault="00E80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32E"/>
    <w:multiLevelType w:val="hybridMultilevel"/>
    <w:tmpl w:val="8992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50533"/>
    <w:multiLevelType w:val="hybridMultilevel"/>
    <w:tmpl w:val="6DF6E62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F5A254E"/>
    <w:multiLevelType w:val="hybridMultilevel"/>
    <w:tmpl w:val="CA362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537163"/>
    <w:multiLevelType w:val="hybridMultilevel"/>
    <w:tmpl w:val="9568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27718"/>
    <w:multiLevelType w:val="hybridMultilevel"/>
    <w:tmpl w:val="CD5E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A18CE"/>
    <w:multiLevelType w:val="hybridMultilevel"/>
    <w:tmpl w:val="A096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21C71"/>
    <w:multiLevelType w:val="hybridMultilevel"/>
    <w:tmpl w:val="A626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21D5A"/>
    <w:multiLevelType w:val="multilevel"/>
    <w:tmpl w:val="5BDA1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98727FC"/>
    <w:multiLevelType w:val="hybridMultilevel"/>
    <w:tmpl w:val="5C3A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90DE4"/>
    <w:multiLevelType w:val="hybridMultilevel"/>
    <w:tmpl w:val="D09EE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46254B"/>
    <w:multiLevelType w:val="hybridMultilevel"/>
    <w:tmpl w:val="AC8C10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5685F0B"/>
    <w:multiLevelType w:val="hybridMultilevel"/>
    <w:tmpl w:val="D078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B3A7A"/>
    <w:multiLevelType w:val="multilevel"/>
    <w:tmpl w:val="290299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A0159B7"/>
    <w:multiLevelType w:val="hybridMultilevel"/>
    <w:tmpl w:val="5E74E53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3F35DC0"/>
    <w:multiLevelType w:val="hybridMultilevel"/>
    <w:tmpl w:val="5D4A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B5F30"/>
    <w:multiLevelType w:val="hybridMultilevel"/>
    <w:tmpl w:val="E7B4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B5567"/>
    <w:multiLevelType w:val="hybridMultilevel"/>
    <w:tmpl w:val="332EF15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22A46"/>
    <w:multiLevelType w:val="hybridMultilevel"/>
    <w:tmpl w:val="707E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064FD"/>
    <w:multiLevelType w:val="hybridMultilevel"/>
    <w:tmpl w:val="C5C2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200C6"/>
    <w:multiLevelType w:val="multilevel"/>
    <w:tmpl w:val="923474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9A91EC3"/>
    <w:multiLevelType w:val="hybridMultilevel"/>
    <w:tmpl w:val="9A52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979F9"/>
    <w:multiLevelType w:val="hybridMultilevel"/>
    <w:tmpl w:val="45869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4862CD"/>
    <w:multiLevelType w:val="hybridMultilevel"/>
    <w:tmpl w:val="27CA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0"/>
  </w:num>
  <w:num w:numId="4">
    <w:abstractNumId w:val="1"/>
  </w:num>
  <w:num w:numId="5">
    <w:abstractNumId w:val="21"/>
  </w:num>
  <w:num w:numId="6">
    <w:abstractNumId w:val="13"/>
  </w:num>
  <w:num w:numId="7">
    <w:abstractNumId w:val="2"/>
  </w:num>
  <w:num w:numId="8">
    <w:abstractNumId w:val="5"/>
  </w:num>
  <w:num w:numId="9">
    <w:abstractNumId w:val="0"/>
  </w:num>
  <w:num w:numId="10">
    <w:abstractNumId w:val="18"/>
  </w:num>
  <w:num w:numId="11">
    <w:abstractNumId w:val="14"/>
  </w:num>
  <w:num w:numId="12">
    <w:abstractNumId w:val="17"/>
  </w:num>
  <w:num w:numId="13">
    <w:abstractNumId w:val="6"/>
  </w:num>
  <w:num w:numId="14">
    <w:abstractNumId w:val="3"/>
  </w:num>
  <w:num w:numId="15">
    <w:abstractNumId w:val="4"/>
  </w:num>
  <w:num w:numId="16">
    <w:abstractNumId w:val="15"/>
  </w:num>
  <w:num w:numId="17">
    <w:abstractNumId w:val="8"/>
  </w:num>
  <w:num w:numId="18">
    <w:abstractNumId w:val="11"/>
  </w:num>
  <w:num w:numId="19">
    <w:abstractNumId w:val="22"/>
  </w:num>
  <w:num w:numId="20">
    <w:abstractNumId w:val="20"/>
  </w:num>
  <w:num w:numId="21">
    <w:abstractNumId w:val="12"/>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90F"/>
    <w:rsid w:val="000041B8"/>
    <w:rsid w:val="00017E00"/>
    <w:rsid w:val="00021A44"/>
    <w:rsid w:val="00021B30"/>
    <w:rsid w:val="0002414A"/>
    <w:rsid w:val="00032E99"/>
    <w:rsid w:val="00034741"/>
    <w:rsid w:val="0003490F"/>
    <w:rsid w:val="00037026"/>
    <w:rsid w:val="00072BF9"/>
    <w:rsid w:val="000853DE"/>
    <w:rsid w:val="00092F7D"/>
    <w:rsid w:val="00093F21"/>
    <w:rsid w:val="00096240"/>
    <w:rsid w:val="00097D82"/>
    <w:rsid w:val="000A341B"/>
    <w:rsid w:val="000A61C3"/>
    <w:rsid w:val="000C1FDD"/>
    <w:rsid w:val="000C3006"/>
    <w:rsid w:val="000C3A23"/>
    <w:rsid w:val="000D76A1"/>
    <w:rsid w:val="000D7786"/>
    <w:rsid w:val="000E52A8"/>
    <w:rsid w:val="000E5349"/>
    <w:rsid w:val="000E5F5D"/>
    <w:rsid w:val="000F7C5B"/>
    <w:rsid w:val="001005F5"/>
    <w:rsid w:val="00126004"/>
    <w:rsid w:val="00136DA0"/>
    <w:rsid w:val="00141E3E"/>
    <w:rsid w:val="00143F87"/>
    <w:rsid w:val="00146402"/>
    <w:rsid w:val="00164F3F"/>
    <w:rsid w:val="00170A32"/>
    <w:rsid w:val="00173D81"/>
    <w:rsid w:val="001816C1"/>
    <w:rsid w:val="00182813"/>
    <w:rsid w:val="00187BC9"/>
    <w:rsid w:val="00195375"/>
    <w:rsid w:val="001B62BF"/>
    <w:rsid w:val="001B6ACE"/>
    <w:rsid w:val="001B6B45"/>
    <w:rsid w:val="001C3AFE"/>
    <w:rsid w:val="001D1E02"/>
    <w:rsid w:val="001F51BC"/>
    <w:rsid w:val="001F7CC7"/>
    <w:rsid w:val="002031C8"/>
    <w:rsid w:val="00203AD0"/>
    <w:rsid w:val="00206634"/>
    <w:rsid w:val="002230DE"/>
    <w:rsid w:val="00223588"/>
    <w:rsid w:val="0022655B"/>
    <w:rsid w:val="0025355F"/>
    <w:rsid w:val="00280A03"/>
    <w:rsid w:val="00292DAB"/>
    <w:rsid w:val="002951FB"/>
    <w:rsid w:val="002A1666"/>
    <w:rsid w:val="002A335C"/>
    <w:rsid w:val="002A537B"/>
    <w:rsid w:val="002B1137"/>
    <w:rsid w:val="002B536D"/>
    <w:rsid w:val="002C0670"/>
    <w:rsid w:val="002C271A"/>
    <w:rsid w:val="002C6A7C"/>
    <w:rsid w:val="002D52BE"/>
    <w:rsid w:val="002E283C"/>
    <w:rsid w:val="002E41A3"/>
    <w:rsid w:val="002E5562"/>
    <w:rsid w:val="002F1355"/>
    <w:rsid w:val="002F5482"/>
    <w:rsid w:val="002F7746"/>
    <w:rsid w:val="00302731"/>
    <w:rsid w:val="003310CB"/>
    <w:rsid w:val="0033643F"/>
    <w:rsid w:val="00365A24"/>
    <w:rsid w:val="00374803"/>
    <w:rsid w:val="003758EA"/>
    <w:rsid w:val="0037740D"/>
    <w:rsid w:val="00385A2E"/>
    <w:rsid w:val="00391487"/>
    <w:rsid w:val="00395A30"/>
    <w:rsid w:val="003A0941"/>
    <w:rsid w:val="003A126C"/>
    <w:rsid w:val="003B153F"/>
    <w:rsid w:val="003B7849"/>
    <w:rsid w:val="003C6017"/>
    <w:rsid w:val="003C7594"/>
    <w:rsid w:val="003F014C"/>
    <w:rsid w:val="003F3B94"/>
    <w:rsid w:val="004036B5"/>
    <w:rsid w:val="00404933"/>
    <w:rsid w:val="00407AAF"/>
    <w:rsid w:val="00414B65"/>
    <w:rsid w:val="0041683C"/>
    <w:rsid w:val="00434B70"/>
    <w:rsid w:val="00443629"/>
    <w:rsid w:val="004439C6"/>
    <w:rsid w:val="00460B16"/>
    <w:rsid w:val="00463DE7"/>
    <w:rsid w:val="004712D3"/>
    <w:rsid w:val="00476B3F"/>
    <w:rsid w:val="004958A7"/>
    <w:rsid w:val="00496BCE"/>
    <w:rsid w:val="004A012C"/>
    <w:rsid w:val="004A2EB2"/>
    <w:rsid w:val="004C77D5"/>
    <w:rsid w:val="004D06A8"/>
    <w:rsid w:val="004D21BA"/>
    <w:rsid w:val="004D2F0F"/>
    <w:rsid w:val="004D55DD"/>
    <w:rsid w:val="004E5711"/>
    <w:rsid w:val="004E7CF0"/>
    <w:rsid w:val="004F1B11"/>
    <w:rsid w:val="004F79F8"/>
    <w:rsid w:val="00501D3B"/>
    <w:rsid w:val="00506AD8"/>
    <w:rsid w:val="00507266"/>
    <w:rsid w:val="0051080B"/>
    <w:rsid w:val="00533A86"/>
    <w:rsid w:val="00535F4C"/>
    <w:rsid w:val="00540785"/>
    <w:rsid w:val="005416EB"/>
    <w:rsid w:val="00551446"/>
    <w:rsid w:val="0055314A"/>
    <w:rsid w:val="00563826"/>
    <w:rsid w:val="00564352"/>
    <w:rsid w:val="00571372"/>
    <w:rsid w:val="0057221D"/>
    <w:rsid w:val="00573BEA"/>
    <w:rsid w:val="005817CA"/>
    <w:rsid w:val="0058566F"/>
    <w:rsid w:val="005917E5"/>
    <w:rsid w:val="00592BCB"/>
    <w:rsid w:val="00594EAF"/>
    <w:rsid w:val="005A74DB"/>
    <w:rsid w:val="005A7692"/>
    <w:rsid w:val="005A7974"/>
    <w:rsid w:val="005B0E35"/>
    <w:rsid w:val="005C1FE4"/>
    <w:rsid w:val="005C7747"/>
    <w:rsid w:val="005E4317"/>
    <w:rsid w:val="005E5B1D"/>
    <w:rsid w:val="005E5EEB"/>
    <w:rsid w:val="005F68FF"/>
    <w:rsid w:val="006056A8"/>
    <w:rsid w:val="00610A59"/>
    <w:rsid w:val="0061365E"/>
    <w:rsid w:val="00615C0A"/>
    <w:rsid w:val="0063045B"/>
    <w:rsid w:val="00634906"/>
    <w:rsid w:val="00634D31"/>
    <w:rsid w:val="00635767"/>
    <w:rsid w:val="00645E1A"/>
    <w:rsid w:val="00650DF0"/>
    <w:rsid w:val="006566EC"/>
    <w:rsid w:val="006568FF"/>
    <w:rsid w:val="00656E61"/>
    <w:rsid w:val="0067384D"/>
    <w:rsid w:val="006817FC"/>
    <w:rsid w:val="006872EE"/>
    <w:rsid w:val="00690AB9"/>
    <w:rsid w:val="00691387"/>
    <w:rsid w:val="0069244C"/>
    <w:rsid w:val="00693153"/>
    <w:rsid w:val="00697D8A"/>
    <w:rsid w:val="006A22D7"/>
    <w:rsid w:val="006A60FE"/>
    <w:rsid w:val="006A7C8C"/>
    <w:rsid w:val="006B1E2E"/>
    <w:rsid w:val="006B5E6D"/>
    <w:rsid w:val="006C351F"/>
    <w:rsid w:val="006D634B"/>
    <w:rsid w:val="006E3A37"/>
    <w:rsid w:val="006E6F90"/>
    <w:rsid w:val="007007BB"/>
    <w:rsid w:val="00707D75"/>
    <w:rsid w:val="00710957"/>
    <w:rsid w:val="00717D4D"/>
    <w:rsid w:val="00720B43"/>
    <w:rsid w:val="00721FEB"/>
    <w:rsid w:val="00726FDE"/>
    <w:rsid w:val="0075529A"/>
    <w:rsid w:val="00755609"/>
    <w:rsid w:val="0076622B"/>
    <w:rsid w:val="00777000"/>
    <w:rsid w:val="0078170A"/>
    <w:rsid w:val="00787DF4"/>
    <w:rsid w:val="00792DCD"/>
    <w:rsid w:val="00794250"/>
    <w:rsid w:val="00795E91"/>
    <w:rsid w:val="007A1C09"/>
    <w:rsid w:val="007A440F"/>
    <w:rsid w:val="007B5568"/>
    <w:rsid w:val="007D446D"/>
    <w:rsid w:val="007F1CE1"/>
    <w:rsid w:val="007F3D62"/>
    <w:rsid w:val="00801545"/>
    <w:rsid w:val="00820734"/>
    <w:rsid w:val="00820D7E"/>
    <w:rsid w:val="00833BE8"/>
    <w:rsid w:val="008600A9"/>
    <w:rsid w:val="008713AD"/>
    <w:rsid w:val="00880A4C"/>
    <w:rsid w:val="008852BA"/>
    <w:rsid w:val="008B0A1C"/>
    <w:rsid w:val="008B53FF"/>
    <w:rsid w:val="008D15B8"/>
    <w:rsid w:val="008E6995"/>
    <w:rsid w:val="008F4849"/>
    <w:rsid w:val="008F7B22"/>
    <w:rsid w:val="00900BFF"/>
    <w:rsid w:val="0090636C"/>
    <w:rsid w:val="00906EBD"/>
    <w:rsid w:val="00906EDA"/>
    <w:rsid w:val="00911730"/>
    <w:rsid w:val="00920D5A"/>
    <w:rsid w:val="00931334"/>
    <w:rsid w:val="00933953"/>
    <w:rsid w:val="00935C85"/>
    <w:rsid w:val="00943C86"/>
    <w:rsid w:val="00960151"/>
    <w:rsid w:val="009645ED"/>
    <w:rsid w:val="00966AF9"/>
    <w:rsid w:val="0096706B"/>
    <w:rsid w:val="0098444D"/>
    <w:rsid w:val="009921D1"/>
    <w:rsid w:val="009A178D"/>
    <w:rsid w:val="009A40BD"/>
    <w:rsid w:val="009B3131"/>
    <w:rsid w:val="009B5232"/>
    <w:rsid w:val="009B671F"/>
    <w:rsid w:val="009C1C97"/>
    <w:rsid w:val="009C5FD1"/>
    <w:rsid w:val="009C73F8"/>
    <w:rsid w:val="009D0630"/>
    <w:rsid w:val="009D6813"/>
    <w:rsid w:val="009E13AD"/>
    <w:rsid w:val="00A044B2"/>
    <w:rsid w:val="00A05D88"/>
    <w:rsid w:val="00A1355E"/>
    <w:rsid w:val="00A23AAC"/>
    <w:rsid w:val="00A35781"/>
    <w:rsid w:val="00A44DE2"/>
    <w:rsid w:val="00A745FA"/>
    <w:rsid w:val="00A80DB9"/>
    <w:rsid w:val="00A8122C"/>
    <w:rsid w:val="00A823CE"/>
    <w:rsid w:val="00A826CA"/>
    <w:rsid w:val="00A971B8"/>
    <w:rsid w:val="00AA1D05"/>
    <w:rsid w:val="00AA2B4E"/>
    <w:rsid w:val="00AA2CCB"/>
    <w:rsid w:val="00AA36FB"/>
    <w:rsid w:val="00AC1085"/>
    <w:rsid w:val="00AC4242"/>
    <w:rsid w:val="00AD1102"/>
    <w:rsid w:val="00AE133F"/>
    <w:rsid w:val="00AE53B6"/>
    <w:rsid w:val="00AE6152"/>
    <w:rsid w:val="00B01EBF"/>
    <w:rsid w:val="00B036A1"/>
    <w:rsid w:val="00B17A38"/>
    <w:rsid w:val="00B2625F"/>
    <w:rsid w:val="00B26B3F"/>
    <w:rsid w:val="00B3779C"/>
    <w:rsid w:val="00B54D8D"/>
    <w:rsid w:val="00B62E78"/>
    <w:rsid w:val="00B63FDE"/>
    <w:rsid w:val="00B73E22"/>
    <w:rsid w:val="00B868A5"/>
    <w:rsid w:val="00BA009C"/>
    <w:rsid w:val="00BB213D"/>
    <w:rsid w:val="00BC08C9"/>
    <w:rsid w:val="00BD5E87"/>
    <w:rsid w:val="00BE21F3"/>
    <w:rsid w:val="00BE6283"/>
    <w:rsid w:val="00BF28D2"/>
    <w:rsid w:val="00C00747"/>
    <w:rsid w:val="00C0353C"/>
    <w:rsid w:val="00C05AD0"/>
    <w:rsid w:val="00C118A1"/>
    <w:rsid w:val="00C13225"/>
    <w:rsid w:val="00C17254"/>
    <w:rsid w:val="00C26FD0"/>
    <w:rsid w:val="00C30A94"/>
    <w:rsid w:val="00C314CE"/>
    <w:rsid w:val="00C32ED4"/>
    <w:rsid w:val="00C411A6"/>
    <w:rsid w:val="00C44DCE"/>
    <w:rsid w:val="00C461BB"/>
    <w:rsid w:val="00C516D5"/>
    <w:rsid w:val="00C54714"/>
    <w:rsid w:val="00C6107A"/>
    <w:rsid w:val="00C6728F"/>
    <w:rsid w:val="00C7113A"/>
    <w:rsid w:val="00C80281"/>
    <w:rsid w:val="00C81A0D"/>
    <w:rsid w:val="00C820D5"/>
    <w:rsid w:val="00C85E98"/>
    <w:rsid w:val="00C92309"/>
    <w:rsid w:val="00C97605"/>
    <w:rsid w:val="00CB504D"/>
    <w:rsid w:val="00CB6CAE"/>
    <w:rsid w:val="00CC49B9"/>
    <w:rsid w:val="00CD1277"/>
    <w:rsid w:val="00CE20A3"/>
    <w:rsid w:val="00CE2AFD"/>
    <w:rsid w:val="00CF1201"/>
    <w:rsid w:val="00CF5AF0"/>
    <w:rsid w:val="00D10C7C"/>
    <w:rsid w:val="00D11189"/>
    <w:rsid w:val="00D12B07"/>
    <w:rsid w:val="00D14922"/>
    <w:rsid w:val="00D25AE1"/>
    <w:rsid w:val="00D32551"/>
    <w:rsid w:val="00D33A0A"/>
    <w:rsid w:val="00D341CC"/>
    <w:rsid w:val="00D445AE"/>
    <w:rsid w:val="00D461C2"/>
    <w:rsid w:val="00D621F6"/>
    <w:rsid w:val="00D71BB8"/>
    <w:rsid w:val="00D84918"/>
    <w:rsid w:val="00D87563"/>
    <w:rsid w:val="00D91211"/>
    <w:rsid w:val="00DA2AA0"/>
    <w:rsid w:val="00DC54B4"/>
    <w:rsid w:val="00DD060A"/>
    <w:rsid w:val="00DD7428"/>
    <w:rsid w:val="00DD7B27"/>
    <w:rsid w:val="00DE24FC"/>
    <w:rsid w:val="00E03415"/>
    <w:rsid w:val="00E146D7"/>
    <w:rsid w:val="00E22D85"/>
    <w:rsid w:val="00E31B88"/>
    <w:rsid w:val="00E5085B"/>
    <w:rsid w:val="00E5489A"/>
    <w:rsid w:val="00E558E7"/>
    <w:rsid w:val="00E56283"/>
    <w:rsid w:val="00E62A29"/>
    <w:rsid w:val="00E70696"/>
    <w:rsid w:val="00E70E16"/>
    <w:rsid w:val="00E732FD"/>
    <w:rsid w:val="00E80B86"/>
    <w:rsid w:val="00E83198"/>
    <w:rsid w:val="00E91350"/>
    <w:rsid w:val="00E94600"/>
    <w:rsid w:val="00E96A11"/>
    <w:rsid w:val="00EA6394"/>
    <w:rsid w:val="00EB3F2F"/>
    <w:rsid w:val="00EC4C38"/>
    <w:rsid w:val="00EE6BCE"/>
    <w:rsid w:val="00EF27A2"/>
    <w:rsid w:val="00F008C0"/>
    <w:rsid w:val="00F019F6"/>
    <w:rsid w:val="00F0730F"/>
    <w:rsid w:val="00F1591A"/>
    <w:rsid w:val="00F21B97"/>
    <w:rsid w:val="00F22400"/>
    <w:rsid w:val="00F25A18"/>
    <w:rsid w:val="00F30083"/>
    <w:rsid w:val="00F46E64"/>
    <w:rsid w:val="00F532E4"/>
    <w:rsid w:val="00F5617D"/>
    <w:rsid w:val="00F609D6"/>
    <w:rsid w:val="00F618C4"/>
    <w:rsid w:val="00F67F1F"/>
    <w:rsid w:val="00F70F92"/>
    <w:rsid w:val="00F72434"/>
    <w:rsid w:val="00F73733"/>
    <w:rsid w:val="00F773DE"/>
    <w:rsid w:val="00F86BDC"/>
    <w:rsid w:val="00F872DA"/>
    <w:rsid w:val="00F87F35"/>
    <w:rsid w:val="00F9707F"/>
    <w:rsid w:val="00FA6E0B"/>
    <w:rsid w:val="00FA7887"/>
    <w:rsid w:val="00FB68BC"/>
    <w:rsid w:val="00FC12A0"/>
    <w:rsid w:val="00FC6921"/>
    <w:rsid w:val="00FD29FD"/>
    <w:rsid w:val="00FD7447"/>
    <w:rsid w:val="00FE0758"/>
    <w:rsid w:val="00FE17F4"/>
    <w:rsid w:val="00FE584E"/>
    <w:rsid w:val="00FE7686"/>
    <w:rsid w:val="00FF56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F8676"/>
  <w15:chartTrackingRefBased/>
  <w15:docId w15:val="{FF63BC3F-072A-477F-8494-D4CDF1BE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70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817FC"/>
    <w:pPr>
      <w:spacing w:before="100" w:beforeAutospacing="1" w:after="100" w:afterAutospacing="1"/>
      <w:outlineLvl w:val="0"/>
    </w:pPr>
    <w:rPr>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90F"/>
    <w:rPr>
      <w:strike w:val="0"/>
      <w:dstrike w:val="0"/>
      <w:color w:val="0000AA"/>
      <w:u w:val="none"/>
      <w:effect w:val="none"/>
    </w:rPr>
  </w:style>
  <w:style w:type="paragraph" w:styleId="ListParagraph">
    <w:name w:val="List Paragraph"/>
    <w:basedOn w:val="Normal"/>
    <w:uiPriority w:val="34"/>
    <w:qFormat/>
    <w:rsid w:val="0003490F"/>
    <w:pPr>
      <w:ind w:left="720"/>
      <w:contextualSpacing/>
    </w:pPr>
  </w:style>
  <w:style w:type="character" w:styleId="Emphasis">
    <w:name w:val="Emphasis"/>
    <w:basedOn w:val="DefaultParagraphFont"/>
    <w:uiPriority w:val="20"/>
    <w:qFormat/>
    <w:rsid w:val="0003490F"/>
    <w:rPr>
      <w:i/>
      <w:iCs/>
    </w:rPr>
  </w:style>
  <w:style w:type="paragraph" w:styleId="Title">
    <w:name w:val="Title"/>
    <w:basedOn w:val="Normal"/>
    <w:link w:val="TitleChar"/>
    <w:uiPriority w:val="99"/>
    <w:qFormat/>
    <w:rsid w:val="0003490F"/>
    <w:pPr>
      <w:jc w:val="center"/>
    </w:pPr>
    <w:rPr>
      <w:rFonts w:ascii="Times" w:hAnsi="Times"/>
      <w:b/>
      <w:szCs w:val="20"/>
    </w:rPr>
  </w:style>
  <w:style w:type="character" w:customStyle="1" w:styleId="TitleChar">
    <w:name w:val="Title Char"/>
    <w:basedOn w:val="DefaultParagraphFont"/>
    <w:link w:val="Title"/>
    <w:uiPriority w:val="99"/>
    <w:rsid w:val="0003490F"/>
    <w:rPr>
      <w:rFonts w:ascii="Times" w:eastAsia="Times New Roman" w:hAnsi="Times" w:cs="Times New Roman"/>
      <w:b/>
      <w:sz w:val="24"/>
      <w:szCs w:val="20"/>
      <w:lang w:val="en-US"/>
    </w:rPr>
  </w:style>
  <w:style w:type="character" w:customStyle="1" w:styleId="moz-txt-tag">
    <w:name w:val="moz-txt-tag"/>
    <w:basedOn w:val="DefaultParagraphFont"/>
    <w:rsid w:val="0003490F"/>
  </w:style>
  <w:style w:type="character" w:styleId="CommentReference">
    <w:name w:val="annotation reference"/>
    <w:basedOn w:val="DefaultParagraphFont"/>
    <w:uiPriority w:val="99"/>
    <w:semiHidden/>
    <w:unhideWhenUsed/>
    <w:rsid w:val="0003490F"/>
    <w:rPr>
      <w:sz w:val="16"/>
      <w:szCs w:val="16"/>
    </w:rPr>
  </w:style>
  <w:style w:type="paragraph" w:styleId="CommentText">
    <w:name w:val="annotation text"/>
    <w:basedOn w:val="Normal"/>
    <w:link w:val="CommentTextChar"/>
    <w:uiPriority w:val="99"/>
    <w:semiHidden/>
    <w:unhideWhenUsed/>
    <w:rsid w:val="0003490F"/>
    <w:rPr>
      <w:sz w:val="20"/>
      <w:szCs w:val="20"/>
    </w:rPr>
  </w:style>
  <w:style w:type="character" w:customStyle="1" w:styleId="CommentTextChar">
    <w:name w:val="Comment Text Char"/>
    <w:basedOn w:val="DefaultParagraphFont"/>
    <w:link w:val="CommentText"/>
    <w:uiPriority w:val="99"/>
    <w:semiHidden/>
    <w:rsid w:val="0003490F"/>
    <w:rPr>
      <w:sz w:val="20"/>
      <w:szCs w:val="20"/>
      <w:lang w:val="en-US"/>
    </w:rPr>
  </w:style>
  <w:style w:type="paragraph" w:styleId="BalloonText">
    <w:name w:val="Balloon Text"/>
    <w:basedOn w:val="Normal"/>
    <w:link w:val="BalloonTextChar"/>
    <w:uiPriority w:val="99"/>
    <w:semiHidden/>
    <w:unhideWhenUsed/>
    <w:rsid w:val="00034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90F"/>
    <w:rPr>
      <w:rFonts w:ascii="Segoe UI" w:hAnsi="Segoe UI" w:cs="Segoe UI"/>
      <w:sz w:val="18"/>
      <w:szCs w:val="18"/>
      <w:lang w:val="en-US"/>
    </w:rPr>
  </w:style>
  <w:style w:type="paragraph" w:styleId="Header">
    <w:name w:val="header"/>
    <w:basedOn w:val="Normal"/>
    <w:link w:val="HeaderChar"/>
    <w:uiPriority w:val="99"/>
    <w:unhideWhenUsed/>
    <w:rsid w:val="0003490F"/>
    <w:pPr>
      <w:tabs>
        <w:tab w:val="center" w:pos="4680"/>
        <w:tab w:val="right" w:pos="9360"/>
      </w:tabs>
    </w:pPr>
  </w:style>
  <w:style w:type="character" w:customStyle="1" w:styleId="HeaderChar">
    <w:name w:val="Header Char"/>
    <w:basedOn w:val="DefaultParagraphFont"/>
    <w:link w:val="Header"/>
    <w:uiPriority w:val="99"/>
    <w:rsid w:val="0003490F"/>
    <w:rPr>
      <w:lang w:val="en-US"/>
    </w:rPr>
  </w:style>
  <w:style w:type="paragraph" w:styleId="Footer">
    <w:name w:val="footer"/>
    <w:basedOn w:val="Normal"/>
    <w:link w:val="FooterChar"/>
    <w:uiPriority w:val="99"/>
    <w:unhideWhenUsed/>
    <w:rsid w:val="0003490F"/>
    <w:pPr>
      <w:tabs>
        <w:tab w:val="center" w:pos="4680"/>
        <w:tab w:val="right" w:pos="9360"/>
      </w:tabs>
    </w:pPr>
  </w:style>
  <w:style w:type="character" w:customStyle="1" w:styleId="FooterChar">
    <w:name w:val="Footer Char"/>
    <w:basedOn w:val="DefaultParagraphFont"/>
    <w:link w:val="Footer"/>
    <w:uiPriority w:val="99"/>
    <w:rsid w:val="0003490F"/>
    <w:rPr>
      <w:lang w:val="en-US"/>
    </w:rPr>
  </w:style>
  <w:style w:type="character" w:styleId="FollowedHyperlink">
    <w:name w:val="FollowedHyperlink"/>
    <w:basedOn w:val="DefaultParagraphFont"/>
    <w:uiPriority w:val="99"/>
    <w:semiHidden/>
    <w:unhideWhenUsed/>
    <w:rsid w:val="0003490F"/>
    <w:rPr>
      <w:color w:val="954F72" w:themeColor="followedHyperlink"/>
      <w:u w:val="single"/>
    </w:rPr>
  </w:style>
  <w:style w:type="character" w:styleId="UnresolvedMention">
    <w:name w:val="Unresolved Mention"/>
    <w:basedOn w:val="DefaultParagraphFont"/>
    <w:uiPriority w:val="99"/>
    <w:semiHidden/>
    <w:unhideWhenUsed/>
    <w:rsid w:val="006A7C8C"/>
    <w:rPr>
      <w:color w:val="605E5C"/>
      <w:shd w:val="clear" w:color="auto" w:fill="E1DFDD"/>
    </w:rPr>
  </w:style>
  <w:style w:type="character" w:customStyle="1" w:styleId="docurl">
    <w:name w:val="docurl"/>
    <w:basedOn w:val="DefaultParagraphFont"/>
    <w:rsid w:val="004D2F0F"/>
  </w:style>
  <w:style w:type="character" w:customStyle="1" w:styleId="Heading1Char">
    <w:name w:val="Heading 1 Char"/>
    <w:basedOn w:val="DefaultParagraphFont"/>
    <w:link w:val="Heading1"/>
    <w:uiPriority w:val="9"/>
    <w:rsid w:val="006817FC"/>
    <w:rPr>
      <w:rFonts w:ascii="Times New Roman" w:eastAsia="Times New Roman" w:hAnsi="Times New Roman" w:cs="Times New Roman"/>
      <w:b/>
      <w:bCs/>
      <w:kern w:val="36"/>
      <w:sz w:val="48"/>
      <w:szCs w:val="48"/>
      <w:lang w:eastAsia="en-CA"/>
    </w:rPr>
  </w:style>
  <w:style w:type="paragraph" w:styleId="CommentSubject">
    <w:name w:val="annotation subject"/>
    <w:basedOn w:val="CommentText"/>
    <w:next w:val="CommentText"/>
    <w:link w:val="CommentSubjectChar"/>
    <w:uiPriority w:val="99"/>
    <w:semiHidden/>
    <w:unhideWhenUsed/>
    <w:rsid w:val="00F21B97"/>
    <w:rPr>
      <w:b/>
      <w:bCs/>
    </w:rPr>
  </w:style>
  <w:style w:type="character" w:customStyle="1" w:styleId="CommentSubjectChar">
    <w:name w:val="Comment Subject Char"/>
    <w:basedOn w:val="CommentTextChar"/>
    <w:link w:val="CommentSubject"/>
    <w:uiPriority w:val="99"/>
    <w:semiHidden/>
    <w:rsid w:val="00F21B97"/>
    <w:rPr>
      <w:b/>
      <w:bCs/>
      <w:sz w:val="20"/>
      <w:szCs w:val="20"/>
      <w:lang w:val="en-US"/>
    </w:rPr>
  </w:style>
  <w:style w:type="paragraph" w:styleId="Revision">
    <w:name w:val="Revision"/>
    <w:hidden/>
    <w:uiPriority w:val="99"/>
    <w:semiHidden/>
    <w:rsid w:val="00F21B97"/>
    <w:pPr>
      <w:spacing w:after="0" w:line="240" w:lineRule="auto"/>
    </w:pPr>
    <w:rPr>
      <w:lang w:val="en-US"/>
    </w:rPr>
  </w:style>
  <w:style w:type="table" w:styleId="TableGrid">
    <w:name w:val="Table Grid"/>
    <w:basedOn w:val="TableNormal"/>
    <w:uiPriority w:val="39"/>
    <w:rsid w:val="00C1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6B45"/>
    <w:pPr>
      <w:spacing w:before="100" w:beforeAutospacing="1" w:after="100" w:afterAutospacing="1"/>
    </w:pPr>
    <w:rPr>
      <w:lang w:eastAsia="en-CA"/>
    </w:rPr>
  </w:style>
  <w:style w:type="character" w:styleId="Strong">
    <w:name w:val="Strong"/>
    <w:basedOn w:val="DefaultParagraphFont"/>
    <w:uiPriority w:val="22"/>
    <w:qFormat/>
    <w:rsid w:val="001B6B45"/>
    <w:rPr>
      <w:b/>
      <w:bCs/>
    </w:rPr>
  </w:style>
  <w:style w:type="character" w:styleId="PageNumber">
    <w:name w:val="page number"/>
    <w:basedOn w:val="DefaultParagraphFont"/>
    <w:uiPriority w:val="99"/>
    <w:semiHidden/>
    <w:unhideWhenUsed/>
    <w:rsid w:val="00FC12A0"/>
  </w:style>
  <w:style w:type="character" w:customStyle="1" w:styleId="apple-converted-space">
    <w:name w:val="apple-converted-space"/>
    <w:basedOn w:val="DefaultParagraphFont"/>
    <w:rsid w:val="0055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39640">
      <w:bodyDiv w:val="1"/>
      <w:marLeft w:val="0"/>
      <w:marRight w:val="0"/>
      <w:marTop w:val="0"/>
      <w:marBottom w:val="0"/>
      <w:divBdr>
        <w:top w:val="none" w:sz="0" w:space="0" w:color="auto"/>
        <w:left w:val="none" w:sz="0" w:space="0" w:color="auto"/>
        <w:bottom w:val="none" w:sz="0" w:space="0" w:color="auto"/>
        <w:right w:val="none" w:sz="0" w:space="0" w:color="auto"/>
      </w:divBdr>
    </w:div>
    <w:div w:id="362902523">
      <w:bodyDiv w:val="1"/>
      <w:marLeft w:val="0"/>
      <w:marRight w:val="0"/>
      <w:marTop w:val="0"/>
      <w:marBottom w:val="0"/>
      <w:divBdr>
        <w:top w:val="none" w:sz="0" w:space="0" w:color="auto"/>
        <w:left w:val="none" w:sz="0" w:space="0" w:color="auto"/>
        <w:bottom w:val="none" w:sz="0" w:space="0" w:color="auto"/>
        <w:right w:val="none" w:sz="0" w:space="0" w:color="auto"/>
      </w:divBdr>
    </w:div>
    <w:div w:id="364210764">
      <w:bodyDiv w:val="1"/>
      <w:marLeft w:val="0"/>
      <w:marRight w:val="0"/>
      <w:marTop w:val="0"/>
      <w:marBottom w:val="0"/>
      <w:divBdr>
        <w:top w:val="none" w:sz="0" w:space="0" w:color="auto"/>
        <w:left w:val="none" w:sz="0" w:space="0" w:color="auto"/>
        <w:bottom w:val="none" w:sz="0" w:space="0" w:color="auto"/>
        <w:right w:val="none" w:sz="0" w:space="0" w:color="auto"/>
      </w:divBdr>
    </w:div>
    <w:div w:id="375667231">
      <w:bodyDiv w:val="1"/>
      <w:marLeft w:val="0"/>
      <w:marRight w:val="0"/>
      <w:marTop w:val="0"/>
      <w:marBottom w:val="0"/>
      <w:divBdr>
        <w:top w:val="none" w:sz="0" w:space="0" w:color="auto"/>
        <w:left w:val="none" w:sz="0" w:space="0" w:color="auto"/>
        <w:bottom w:val="none" w:sz="0" w:space="0" w:color="auto"/>
        <w:right w:val="none" w:sz="0" w:space="0" w:color="auto"/>
      </w:divBdr>
    </w:div>
    <w:div w:id="509609632">
      <w:bodyDiv w:val="1"/>
      <w:marLeft w:val="0"/>
      <w:marRight w:val="0"/>
      <w:marTop w:val="0"/>
      <w:marBottom w:val="0"/>
      <w:divBdr>
        <w:top w:val="none" w:sz="0" w:space="0" w:color="auto"/>
        <w:left w:val="none" w:sz="0" w:space="0" w:color="auto"/>
        <w:bottom w:val="none" w:sz="0" w:space="0" w:color="auto"/>
        <w:right w:val="none" w:sz="0" w:space="0" w:color="auto"/>
      </w:divBdr>
    </w:div>
    <w:div w:id="569538213">
      <w:bodyDiv w:val="1"/>
      <w:marLeft w:val="0"/>
      <w:marRight w:val="0"/>
      <w:marTop w:val="0"/>
      <w:marBottom w:val="0"/>
      <w:divBdr>
        <w:top w:val="none" w:sz="0" w:space="0" w:color="auto"/>
        <w:left w:val="none" w:sz="0" w:space="0" w:color="auto"/>
        <w:bottom w:val="none" w:sz="0" w:space="0" w:color="auto"/>
        <w:right w:val="none" w:sz="0" w:space="0" w:color="auto"/>
      </w:divBdr>
    </w:div>
    <w:div w:id="572742095">
      <w:bodyDiv w:val="1"/>
      <w:marLeft w:val="0"/>
      <w:marRight w:val="0"/>
      <w:marTop w:val="0"/>
      <w:marBottom w:val="0"/>
      <w:divBdr>
        <w:top w:val="none" w:sz="0" w:space="0" w:color="auto"/>
        <w:left w:val="none" w:sz="0" w:space="0" w:color="auto"/>
        <w:bottom w:val="none" w:sz="0" w:space="0" w:color="auto"/>
        <w:right w:val="none" w:sz="0" w:space="0" w:color="auto"/>
      </w:divBdr>
    </w:div>
    <w:div w:id="668945612">
      <w:bodyDiv w:val="1"/>
      <w:marLeft w:val="0"/>
      <w:marRight w:val="0"/>
      <w:marTop w:val="0"/>
      <w:marBottom w:val="0"/>
      <w:divBdr>
        <w:top w:val="none" w:sz="0" w:space="0" w:color="auto"/>
        <w:left w:val="none" w:sz="0" w:space="0" w:color="auto"/>
        <w:bottom w:val="none" w:sz="0" w:space="0" w:color="auto"/>
        <w:right w:val="none" w:sz="0" w:space="0" w:color="auto"/>
      </w:divBdr>
      <w:divsChild>
        <w:div w:id="896862457">
          <w:marLeft w:val="0"/>
          <w:marRight w:val="0"/>
          <w:marTop w:val="0"/>
          <w:marBottom w:val="300"/>
          <w:divBdr>
            <w:top w:val="none" w:sz="0" w:space="0" w:color="auto"/>
            <w:left w:val="none" w:sz="0" w:space="0" w:color="auto"/>
            <w:bottom w:val="none" w:sz="0" w:space="0" w:color="auto"/>
            <w:right w:val="none" w:sz="0" w:space="0" w:color="auto"/>
          </w:divBdr>
          <w:divsChild>
            <w:div w:id="7746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83429617">
      <w:bodyDiv w:val="1"/>
      <w:marLeft w:val="0"/>
      <w:marRight w:val="0"/>
      <w:marTop w:val="0"/>
      <w:marBottom w:val="0"/>
      <w:divBdr>
        <w:top w:val="none" w:sz="0" w:space="0" w:color="auto"/>
        <w:left w:val="none" w:sz="0" w:space="0" w:color="auto"/>
        <w:bottom w:val="none" w:sz="0" w:space="0" w:color="auto"/>
        <w:right w:val="none" w:sz="0" w:space="0" w:color="auto"/>
      </w:divBdr>
    </w:div>
    <w:div w:id="836506221">
      <w:bodyDiv w:val="1"/>
      <w:marLeft w:val="0"/>
      <w:marRight w:val="0"/>
      <w:marTop w:val="0"/>
      <w:marBottom w:val="0"/>
      <w:divBdr>
        <w:top w:val="none" w:sz="0" w:space="0" w:color="auto"/>
        <w:left w:val="none" w:sz="0" w:space="0" w:color="auto"/>
        <w:bottom w:val="none" w:sz="0" w:space="0" w:color="auto"/>
        <w:right w:val="none" w:sz="0" w:space="0" w:color="auto"/>
      </w:divBdr>
    </w:div>
    <w:div w:id="845708832">
      <w:bodyDiv w:val="1"/>
      <w:marLeft w:val="0"/>
      <w:marRight w:val="0"/>
      <w:marTop w:val="0"/>
      <w:marBottom w:val="0"/>
      <w:divBdr>
        <w:top w:val="none" w:sz="0" w:space="0" w:color="auto"/>
        <w:left w:val="none" w:sz="0" w:space="0" w:color="auto"/>
        <w:bottom w:val="none" w:sz="0" w:space="0" w:color="auto"/>
        <w:right w:val="none" w:sz="0" w:space="0" w:color="auto"/>
      </w:divBdr>
    </w:div>
    <w:div w:id="853105244">
      <w:bodyDiv w:val="1"/>
      <w:marLeft w:val="0"/>
      <w:marRight w:val="0"/>
      <w:marTop w:val="0"/>
      <w:marBottom w:val="0"/>
      <w:divBdr>
        <w:top w:val="none" w:sz="0" w:space="0" w:color="auto"/>
        <w:left w:val="none" w:sz="0" w:space="0" w:color="auto"/>
        <w:bottom w:val="none" w:sz="0" w:space="0" w:color="auto"/>
        <w:right w:val="none" w:sz="0" w:space="0" w:color="auto"/>
      </w:divBdr>
    </w:div>
    <w:div w:id="902369366">
      <w:bodyDiv w:val="1"/>
      <w:marLeft w:val="0"/>
      <w:marRight w:val="0"/>
      <w:marTop w:val="0"/>
      <w:marBottom w:val="0"/>
      <w:divBdr>
        <w:top w:val="none" w:sz="0" w:space="0" w:color="auto"/>
        <w:left w:val="none" w:sz="0" w:space="0" w:color="auto"/>
        <w:bottom w:val="none" w:sz="0" w:space="0" w:color="auto"/>
        <w:right w:val="none" w:sz="0" w:space="0" w:color="auto"/>
      </w:divBdr>
    </w:div>
    <w:div w:id="1071587793">
      <w:bodyDiv w:val="1"/>
      <w:marLeft w:val="0"/>
      <w:marRight w:val="0"/>
      <w:marTop w:val="0"/>
      <w:marBottom w:val="0"/>
      <w:divBdr>
        <w:top w:val="none" w:sz="0" w:space="0" w:color="auto"/>
        <w:left w:val="none" w:sz="0" w:space="0" w:color="auto"/>
        <w:bottom w:val="none" w:sz="0" w:space="0" w:color="auto"/>
        <w:right w:val="none" w:sz="0" w:space="0" w:color="auto"/>
      </w:divBdr>
    </w:div>
    <w:div w:id="1149131851">
      <w:bodyDiv w:val="1"/>
      <w:marLeft w:val="0"/>
      <w:marRight w:val="0"/>
      <w:marTop w:val="0"/>
      <w:marBottom w:val="0"/>
      <w:divBdr>
        <w:top w:val="none" w:sz="0" w:space="0" w:color="auto"/>
        <w:left w:val="none" w:sz="0" w:space="0" w:color="auto"/>
        <w:bottom w:val="none" w:sz="0" w:space="0" w:color="auto"/>
        <w:right w:val="none" w:sz="0" w:space="0" w:color="auto"/>
      </w:divBdr>
    </w:div>
    <w:div w:id="1268194203">
      <w:bodyDiv w:val="1"/>
      <w:marLeft w:val="0"/>
      <w:marRight w:val="0"/>
      <w:marTop w:val="0"/>
      <w:marBottom w:val="0"/>
      <w:divBdr>
        <w:top w:val="none" w:sz="0" w:space="0" w:color="auto"/>
        <w:left w:val="none" w:sz="0" w:space="0" w:color="auto"/>
        <w:bottom w:val="none" w:sz="0" w:space="0" w:color="auto"/>
        <w:right w:val="none" w:sz="0" w:space="0" w:color="auto"/>
      </w:divBdr>
      <w:divsChild>
        <w:div w:id="704402476">
          <w:marLeft w:val="0"/>
          <w:marRight w:val="0"/>
          <w:marTop w:val="0"/>
          <w:marBottom w:val="0"/>
          <w:divBdr>
            <w:top w:val="none" w:sz="0" w:space="0" w:color="auto"/>
            <w:left w:val="none" w:sz="0" w:space="0" w:color="auto"/>
            <w:bottom w:val="none" w:sz="0" w:space="0" w:color="auto"/>
            <w:right w:val="none" w:sz="0" w:space="0" w:color="auto"/>
          </w:divBdr>
          <w:divsChild>
            <w:div w:id="14430840">
              <w:marLeft w:val="0"/>
              <w:marRight w:val="0"/>
              <w:marTop w:val="0"/>
              <w:marBottom w:val="0"/>
              <w:divBdr>
                <w:top w:val="none" w:sz="0" w:space="0" w:color="auto"/>
                <w:left w:val="none" w:sz="0" w:space="0" w:color="auto"/>
                <w:bottom w:val="none" w:sz="0" w:space="0" w:color="auto"/>
                <w:right w:val="none" w:sz="0" w:space="0" w:color="auto"/>
              </w:divBdr>
              <w:divsChild>
                <w:div w:id="830828362">
                  <w:marLeft w:val="480"/>
                  <w:marRight w:val="0"/>
                  <w:marTop w:val="0"/>
                  <w:marBottom w:val="0"/>
                  <w:divBdr>
                    <w:top w:val="none" w:sz="0" w:space="0" w:color="auto"/>
                    <w:left w:val="none" w:sz="0" w:space="0" w:color="auto"/>
                    <w:bottom w:val="none" w:sz="0" w:space="0" w:color="auto"/>
                    <w:right w:val="none" w:sz="0" w:space="0" w:color="auto"/>
                  </w:divBdr>
                  <w:divsChild>
                    <w:div w:id="2569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21939">
      <w:bodyDiv w:val="1"/>
      <w:marLeft w:val="0"/>
      <w:marRight w:val="0"/>
      <w:marTop w:val="0"/>
      <w:marBottom w:val="0"/>
      <w:divBdr>
        <w:top w:val="none" w:sz="0" w:space="0" w:color="auto"/>
        <w:left w:val="none" w:sz="0" w:space="0" w:color="auto"/>
        <w:bottom w:val="none" w:sz="0" w:space="0" w:color="auto"/>
        <w:right w:val="none" w:sz="0" w:space="0" w:color="auto"/>
      </w:divBdr>
    </w:div>
    <w:div w:id="1505976065">
      <w:bodyDiv w:val="1"/>
      <w:marLeft w:val="0"/>
      <w:marRight w:val="0"/>
      <w:marTop w:val="0"/>
      <w:marBottom w:val="0"/>
      <w:divBdr>
        <w:top w:val="none" w:sz="0" w:space="0" w:color="auto"/>
        <w:left w:val="none" w:sz="0" w:space="0" w:color="auto"/>
        <w:bottom w:val="none" w:sz="0" w:space="0" w:color="auto"/>
        <w:right w:val="none" w:sz="0" w:space="0" w:color="auto"/>
      </w:divBdr>
      <w:divsChild>
        <w:div w:id="286745509">
          <w:marLeft w:val="0"/>
          <w:marRight w:val="0"/>
          <w:marTop w:val="0"/>
          <w:marBottom w:val="0"/>
          <w:divBdr>
            <w:top w:val="none" w:sz="0" w:space="0" w:color="auto"/>
            <w:left w:val="none" w:sz="0" w:space="0" w:color="auto"/>
            <w:bottom w:val="none" w:sz="0" w:space="0" w:color="auto"/>
            <w:right w:val="none" w:sz="0" w:space="0" w:color="auto"/>
          </w:divBdr>
          <w:divsChild>
            <w:div w:id="796070230">
              <w:marLeft w:val="0"/>
              <w:marRight w:val="0"/>
              <w:marTop w:val="0"/>
              <w:marBottom w:val="0"/>
              <w:divBdr>
                <w:top w:val="none" w:sz="0" w:space="0" w:color="auto"/>
                <w:left w:val="none" w:sz="0" w:space="0" w:color="auto"/>
                <w:bottom w:val="none" w:sz="0" w:space="0" w:color="auto"/>
                <w:right w:val="none" w:sz="0" w:space="0" w:color="auto"/>
              </w:divBdr>
              <w:divsChild>
                <w:div w:id="6204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4300">
      <w:bodyDiv w:val="1"/>
      <w:marLeft w:val="0"/>
      <w:marRight w:val="0"/>
      <w:marTop w:val="0"/>
      <w:marBottom w:val="0"/>
      <w:divBdr>
        <w:top w:val="none" w:sz="0" w:space="0" w:color="auto"/>
        <w:left w:val="none" w:sz="0" w:space="0" w:color="auto"/>
        <w:bottom w:val="none" w:sz="0" w:space="0" w:color="auto"/>
        <w:right w:val="none" w:sz="0" w:space="0" w:color="auto"/>
      </w:divBdr>
    </w:div>
    <w:div w:id="1678116998">
      <w:bodyDiv w:val="1"/>
      <w:marLeft w:val="0"/>
      <w:marRight w:val="0"/>
      <w:marTop w:val="0"/>
      <w:marBottom w:val="0"/>
      <w:divBdr>
        <w:top w:val="none" w:sz="0" w:space="0" w:color="auto"/>
        <w:left w:val="none" w:sz="0" w:space="0" w:color="auto"/>
        <w:bottom w:val="none" w:sz="0" w:space="0" w:color="auto"/>
        <w:right w:val="none" w:sz="0" w:space="0" w:color="auto"/>
      </w:divBdr>
    </w:div>
    <w:div w:id="1730108151">
      <w:bodyDiv w:val="1"/>
      <w:marLeft w:val="0"/>
      <w:marRight w:val="0"/>
      <w:marTop w:val="0"/>
      <w:marBottom w:val="0"/>
      <w:divBdr>
        <w:top w:val="none" w:sz="0" w:space="0" w:color="auto"/>
        <w:left w:val="none" w:sz="0" w:space="0" w:color="auto"/>
        <w:bottom w:val="none" w:sz="0" w:space="0" w:color="auto"/>
        <w:right w:val="none" w:sz="0" w:space="0" w:color="auto"/>
      </w:divBdr>
    </w:div>
    <w:div w:id="1732776665">
      <w:bodyDiv w:val="1"/>
      <w:marLeft w:val="0"/>
      <w:marRight w:val="0"/>
      <w:marTop w:val="0"/>
      <w:marBottom w:val="0"/>
      <w:divBdr>
        <w:top w:val="none" w:sz="0" w:space="0" w:color="auto"/>
        <w:left w:val="none" w:sz="0" w:space="0" w:color="auto"/>
        <w:bottom w:val="none" w:sz="0" w:space="0" w:color="auto"/>
        <w:right w:val="none" w:sz="0" w:space="0" w:color="auto"/>
      </w:divBdr>
      <w:divsChild>
        <w:div w:id="2017687106">
          <w:marLeft w:val="0"/>
          <w:marRight w:val="0"/>
          <w:marTop w:val="0"/>
          <w:marBottom w:val="0"/>
          <w:divBdr>
            <w:top w:val="none" w:sz="0" w:space="0" w:color="auto"/>
            <w:left w:val="none" w:sz="0" w:space="0" w:color="auto"/>
            <w:bottom w:val="none" w:sz="0" w:space="0" w:color="auto"/>
            <w:right w:val="none" w:sz="0" w:space="0" w:color="auto"/>
          </w:divBdr>
          <w:divsChild>
            <w:div w:id="20937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erningcouncil.utoronto.ca/policies/behaveac.htm" TargetMode="External"/><Relationship Id="rId18" Type="http://schemas.openxmlformats.org/officeDocument/2006/relationships/hyperlink" Target="https://uwaterloo.ca/secretariat/guidelines/guidelines-assessment-penalties" TargetMode="External"/><Relationship Id="rId26" Type="http://schemas.openxmlformats.org/officeDocument/2006/relationships/hyperlink" Target="https://link.gale.com/apps/doc/A552762967/AONE?u=uniwater&amp;sid=AONE&amp;xid=83f7edb7" TargetMode="External"/><Relationship Id="rId39" Type="http://schemas.openxmlformats.org/officeDocument/2006/relationships/header" Target="header1.xml"/><Relationship Id="rId21" Type="http://schemas.openxmlformats.org/officeDocument/2006/relationships/hyperlink" Target="https://uwaterloo.ca/secretariat/policies-procedures-guidelines/policy-72" TargetMode="External"/><Relationship Id="rId34" Type="http://schemas.openxmlformats.org/officeDocument/2006/relationships/hyperlink" Target="https://www.cbc.ca/news/canada/we-charity-student-grant-justin-trudeau-testimony-1.5666676"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aterloo.ca/academic-integrity/" TargetMode="External"/><Relationship Id="rId29" Type="http://schemas.openxmlformats.org/officeDocument/2006/relationships/hyperlink" Target="https://youtu.be/W5Ry221pO3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sha.tangkai@uwaterloo.ca" TargetMode="External"/><Relationship Id="rId24" Type="http://schemas.openxmlformats.org/officeDocument/2006/relationships/hyperlink" Target="https://constitutionalcourtreview.co.za/wp-content/uploads/2018/10/2009-Article-5-Catherine-Albertyn.pdf" TargetMode="External"/><Relationship Id="rId32" Type="http://schemas.openxmlformats.org/officeDocument/2006/relationships/hyperlink" Target="https://doi.org/10.1111/j.1467-7660.2011.01703.x" TargetMode="External"/><Relationship Id="rId37" Type="http://schemas.openxmlformats.org/officeDocument/2006/relationships/hyperlink" Target="https://doi.org/10.1111/j.1753-9137.2012.01119.x"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waterloo.ca/secretariat/policies-procedures-guidelines/policy-70" TargetMode="External"/><Relationship Id="rId23" Type="http://schemas.openxmlformats.org/officeDocument/2006/relationships/hyperlink" Target="https://theanarchistlibrary.org/library/david-graeber-there-never-was-a-west" TargetMode="External"/><Relationship Id="rId28" Type="http://schemas.openxmlformats.org/officeDocument/2006/relationships/hyperlink" Target="https://doi.org/10.1080/13569325.2015.1091296" TargetMode="External"/><Relationship Id="rId36" Type="http://schemas.openxmlformats.org/officeDocument/2006/relationships/hyperlink" Target="https://doi.org/10.1146/annurev.publhealth.27.021405.102124" TargetMode="External"/><Relationship Id="rId10" Type="http://schemas.openxmlformats.org/officeDocument/2006/relationships/endnotes" Target="endnotes.xml"/><Relationship Id="rId19" Type="http://schemas.openxmlformats.org/officeDocument/2006/relationships/hyperlink" Target="https://uwaterloo.ca/secretariat/policies-procedures-guidelines/policy-70" TargetMode="External"/><Relationship Id="rId31" Type="http://schemas.openxmlformats.org/officeDocument/2006/relationships/hyperlink" Target="https://doi.org/10.1016/S0090-2616(00)00005-X"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aterloo.ca/academic-integrity/" TargetMode="External"/><Relationship Id="rId22" Type="http://schemas.openxmlformats.org/officeDocument/2006/relationships/hyperlink" Target="https://uwaterloo.ca/disability-services/" TargetMode="External"/><Relationship Id="rId27" Type="http://schemas.openxmlformats.org/officeDocument/2006/relationships/hyperlink" Target="https://www.youtube.com/watch?v=rMCQk-TBHPA" TargetMode="External"/><Relationship Id="rId30" Type="http://schemas.openxmlformats.org/officeDocument/2006/relationships/hyperlink" Target="http://home.ubalt.edu/ntsbpitt/ethics.pdf" TargetMode="External"/><Relationship Id="rId35" Type="http://schemas.openxmlformats.org/officeDocument/2006/relationships/hyperlink" Target="https://doi.org/10.1080/10455752.2016.1213013"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natasha.tangkai@uwaterloo.ca" TargetMode="External"/><Relationship Id="rId17" Type="http://schemas.openxmlformats.org/officeDocument/2006/relationships/hyperlink" Target="https://uwaterloo.ca/secretariat/policies-procedures-guidelines/policy-71" TargetMode="External"/><Relationship Id="rId25" Type="http://schemas.openxmlformats.org/officeDocument/2006/relationships/hyperlink" Target="https://digitalcommons.wcl.american.edu/cgi/viewcontent.cgi?article=1131&amp;context=hrbrief" TargetMode="External"/><Relationship Id="rId33" Type="http://schemas.openxmlformats.org/officeDocument/2006/relationships/hyperlink" Target="https://link.gale.com/apps/doc/A472266427/AONE?u=uniwater&amp;sid=AONE&amp;xid=f37eefb2" TargetMode="External"/><Relationship Id="rId38" Type="http://schemas.openxmlformats.org/officeDocument/2006/relationships/hyperlink" Target="https://doi.org/10.1177/0042098018803227" TargetMode="External"/><Relationship Id="rId46" Type="http://schemas.openxmlformats.org/officeDocument/2006/relationships/theme" Target="theme/theme1.xml"/><Relationship Id="rId20" Type="http://schemas.openxmlformats.org/officeDocument/2006/relationships/hyperlink" Target="https://uwaterloo.ca/secretariat/policies-procedures-guidelines/policy-71"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45B1299804E419ED9E15FE2E674F9" ma:contentTypeVersion="10" ma:contentTypeDescription="Create a new document." ma:contentTypeScope="" ma:versionID="9b8eb4746ab044ff95ad98cfb37c7a93">
  <xsd:schema xmlns:xsd="http://www.w3.org/2001/XMLSchema" xmlns:xs="http://www.w3.org/2001/XMLSchema" xmlns:p="http://schemas.microsoft.com/office/2006/metadata/properties" xmlns:ns3="75890da9-b46e-45af-a1c8-9b8cde3edcaa" targetNamespace="http://schemas.microsoft.com/office/2006/metadata/properties" ma:root="true" ma:fieldsID="eeee140e34ff08715103c8390be08464" ns3:_="">
    <xsd:import namespace="75890da9-b46e-45af-a1c8-9b8cde3edc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90da9-b46e-45af-a1c8-9b8cde3ed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F0E7B-6C37-411F-8BDE-2336D457361D}">
  <ds:schemaRefs>
    <ds:schemaRef ds:uri="http://schemas.openxmlformats.org/officeDocument/2006/bibliography"/>
  </ds:schemaRefs>
</ds:datastoreItem>
</file>

<file path=customXml/itemProps2.xml><?xml version="1.0" encoding="utf-8"?>
<ds:datastoreItem xmlns:ds="http://schemas.openxmlformats.org/officeDocument/2006/customXml" ds:itemID="{6F07AAA9-DEBE-4D5C-BD05-791FF3186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90da9-b46e-45af-a1c8-9b8cde3ed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C447D-B444-4278-ADFF-D71B6E2569A7}">
  <ds:schemaRefs>
    <ds:schemaRef ds:uri="http://schemas.microsoft.com/sharepoint/v3/contenttype/forms"/>
  </ds:schemaRefs>
</ds:datastoreItem>
</file>

<file path=customXml/itemProps4.xml><?xml version="1.0" encoding="utf-8"?>
<ds:datastoreItem xmlns:ds="http://schemas.openxmlformats.org/officeDocument/2006/customXml" ds:itemID="{BB1EC438-F013-4CC3-A636-CB0561ABF2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Katherine Seirlis</dc:creator>
  <cp:keywords/>
  <dc:description/>
  <cp:lastModifiedBy>Natasha Tang Kai</cp:lastModifiedBy>
  <cp:revision>2</cp:revision>
  <cp:lastPrinted>2021-01-08T15:31:00Z</cp:lastPrinted>
  <dcterms:created xsi:type="dcterms:W3CDTF">2021-01-08T19:47:00Z</dcterms:created>
  <dcterms:modified xsi:type="dcterms:W3CDTF">2021-01-08T19:47:00Z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Natasha.TangKai@ontario.ca</vt:lpwstr>
  </property>
  <property fmtid="{D5CDD505-2E9C-101B-9397-08002B2CF9AE}" pid="5" name="MSIP_Label_034a106e-6316-442c-ad35-738afd673d2b_SetDate">
    <vt:lpwstr>2020-10-28T18:47:48.3412781Z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5851d078-8487-4cb1-897e-d766e369ae45</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0x010100FA645B1299804E419ED9E15FE2E674F9</vt:lpwstr>
  </property>
</Properties>
</file>